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2018"/>
        <w:gridCol w:w="1190"/>
        <w:gridCol w:w="2150"/>
        <w:gridCol w:w="2070"/>
        <w:gridCol w:w="1347"/>
        <w:gridCol w:w="183"/>
        <w:gridCol w:w="1479"/>
        <w:gridCol w:w="1472"/>
      </w:tblGrid>
      <w:tr w:rsidR="008B199E" w:rsidRPr="00F53B43" w:rsidTr="00D64398">
        <w:trPr>
          <w:jc w:val="center"/>
        </w:trPr>
        <w:tc>
          <w:tcPr>
            <w:tcW w:w="3839" w:type="pct"/>
            <w:gridSpan w:val="6"/>
            <w:tcBorders>
              <w:bottom w:val="nil"/>
            </w:tcBorders>
          </w:tcPr>
          <w:p w:rsidR="008B199E" w:rsidRPr="00F53B43" w:rsidRDefault="008B199E" w:rsidP="00D64398">
            <w:pPr>
              <w:spacing w:before="120" w:after="120"/>
              <w:rPr>
                <w:b/>
                <w:color w:val="000000"/>
                <w:sz w:val="20"/>
                <w:szCs w:val="20"/>
                <w:lang w:val="sr-Cyrl-CS"/>
              </w:rPr>
            </w:pPr>
            <w:r w:rsidRPr="00F53B43">
              <w:rPr>
                <w:b/>
                <w:color w:val="000000"/>
                <w:sz w:val="20"/>
                <w:szCs w:val="20"/>
                <w:lang w:val="sr-Cyrl-CS"/>
              </w:rPr>
              <w:t>1</w:t>
            </w:r>
            <w:r w:rsidRPr="00F53B43">
              <w:rPr>
                <w:color w:val="000000"/>
                <w:sz w:val="20"/>
                <w:szCs w:val="20"/>
                <w:lang w:val="sr-Cyrl-CS"/>
              </w:rPr>
              <w:t>.</w:t>
            </w:r>
            <w:r w:rsidRPr="00F53B43">
              <w:rPr>
                <w:iCs/>
                <w:color w:val="000000"/>
                <w:sz w:val="20"/>
                <w:szCs w:val="20"/>
                <w:lang w:val="ru-RU"/>
              </w:rPr>
              <w:t xml:space="preserve"> </w:t>
            </w:r>
            <w:r w:rsidRPr="00F53B43">
              <w:rPr>
                <w:color w:val="000000"/>
                <w:sz w:val="20"/>
                <w:szCs w:val="20"/>
                <w:lang w:val="sr-Cyrl-CS"/>
              </w:rPr>
              <w:t xml:space="preserve">Назив прописа </w:t>
            </w:r>
            <w:r w:rsidRPr="00F53B43">
              <w:rPr>
                <w:color w:val="000000"/>
                <w:sz w:val="20"/>
                <w:szCs w:val="20"/>
              </w:rPr>
              <w:t>E</w:t>
            </w:r>
            <w:r w:rsidRPr="00F53B43">
              <w:rPr>
                <w:color w:val="000000"/>
                <w:sz w:val="20"/>
                <w:szCs w:val="20"/>
                <w:lang w:val="sr-Cyrl-CS"/>
              </w:rPr>
              <w:t>У</w:t>
            </w:r>
          </w:p>
        </w:tc>
        <w:tc>
          <w:tcPr>
            <w:tcW w:w="1161" w:type="pct"/>
            <w:gridSpan w:val="3"/>
            <w:tcBorders>
              <w:bottom w:val="nil"/>
            </w:tcBorders>
          </w:tcPr>
          <w:p w:rsidR="008B199E" w:rsidRPr="00F53B43" w:rsidRDefault="008B199E" w:rsidP="00D64398">
            <w:pPr>
              <w:spacing w:before="120" w:after="120"/>
              <w:rPr>
                <w:color w:val="000000"/>
                <w:sz w:val="20"/>
                <w:szCs w:val="20"/>
                <w:lang w:val="ru-RU"/>
              </w:rPr>
            </w:pPr>
            <w:r w:rsidRPr="00F53B43">
              <w:rPr>
                <w:b/>
                <w:iCs/>
                <w:color w:val="000000"/>
                <w:sz w:val="20"/>
                <w:szCs w:val="20"/>
                <w:lang w:val="ru-RU"/>
              </w:rPr>
              <w:t>2</w:t>
            </w:r>
            <w:r w:rsidRPr="00F53B43">
              <w:rPr>
                <w:iCs/>
                <w:color w:val="000000"/>
                <w:sz w:val="20"/>
                <w:szCs w:val="20"/>
                <w:lang w:val="ru-RU"/>
              </w:rPr>
              <w:t xml:space="preserve">. </w:t>
            </w:r>
            <w:r w:rsidRPr="00F53B43">
              <w:rPr>
                <w:iCs/>
                <w:color w:val="000000"/>
                <w:sz w:val="20"/>
                <w:szCs w:val="20"/>
                <w:lang w:val="sr-Cyrl-CS"/>
              </w:rPr>
              <w:t>„</w:t>
            </w:r>
            <w:r w:rsidRPr="00F53B43">
              <w:rPr>
                <w:iCs/>
                <w:color w:val="000000"/>
                <w:sz w:val="20"/>
                <w:szCs w:val="20"/>
              </w:rPr>
              <w:t>CELEX</w:t>
            </w:r>
            <w:r w:rsidRPr="00F53B43">
              <w:rPr>
                <w:iCs/>
                <w:color w:val="000000"/>
                <w:sz w:val="20"/>
                <w:szCs w:val="20"/>
                <w:lang w:val="sr-Cyrl-CS"/>
              </w:rPr>
              <w:t>” ознака ЕУ прописа</w:t>
            </w:r>
          </w:p>
        </w:tc>
      </w:tr>
      <w:tr w:rsidR="008B199E" w:rsidRPr="00F53B43" w:rsidTr="00D64398">
        <w:trPr>
          <w:jc w:val="center"/>
        </w:trPr>
        <w:tc>
          <w:tcPr>
            <w:tcW w:w="3839" w:type="pct"/>
            <w:gridSpan w:val="6"/>
            <w:tcBorders>
              <w:top w:val="nil"/>
              <w:bottom w:val="single" w:sz="4" w:space="0" w:color="auto"/>
            </w:tcBorders>
          </w:tcPr>
          <w:p w:rsidR="008B199E" w:rsidRPr="00F53B43" w:rsidRDefault="008B199E" w:rsidP="00D64398">
            <w:pPr>
              <w:rPr>
                <w:sz w:val="20"/>
                <w:szCs w:val="20"/>
                <w:lang w:val="sr-Cyrl-CS"/>
              </w:rPr>
            </w:pPr>
            <w:r w:rsidRPr="00F53B43">
              <w:rPr>
                <w:bCs/>
                <w:color w:val="000000"/>
                <w:sz w:val="20"/>
                <w:szCs w:val="20"/>
                <w:lang w:val="sr-Cyrl-CS"/>
              </w:rPr>
              <w:t xml:space="preserve">Директива ЕУ о </w:t>
            </w:r>
            <w:r w:rsidRPr="00F53B43">
              <w:rPr>
                <w:sz w:val="20"/>
                <w:szCs w:val="20"/>
                <w:lang w:val="sr-Cyrl-CS"/>
              </w:rPr>
              <w:t>спречавању кашњења плаћања у комерцијалним трансакцијама</w:t>
            </w:r>
          </w:p>
          <w:p w:rsidR="008B199E" w:rsidRPr="00F53B43" w:rsidRDefault="008B199E" w:rsidP="00D64398">
            <w:pPr>
              <w:rPr>
                <w:sz w:val="20"/>
                <w:szCs w:val="20"/>
                <w:lang w:val="sr-Cyrl-CS"/>
              </w:rPr>
            </w:pPr>
          </w:p>
          <w:p w:rsidR="008B199E" w:rsidRPr="00F53B43" w:rsidRDefault="008B199E" w:rsidP="00D64398">
            <w:pPr>
              <w:rPr>
                <w:sz w:val="20"/>
                <w:szCs w:val="20"/>
                <w:lang w:val="sr-Cyrl-CS"/>
              </w:rPr>
            </w:pPr>
            <w:r w:rsidRPr="00F53B43">
              <w:rPr>
                <w:bCs/>
                <w:color w:val="000000"/>
                <w:sz w:val="20"/>
                <w:szCs w:val="20"/>
              </w:rPr>
              <w:t xml:space="preserve">DIRECTIVE 2011/7/EU OF THE EUROPEAN PARLIAMENT AND OF THE COUNCIL </w:t>
            </w:r>
            <w:r w:rsidRPr="00F53B43">
              <w:rPr>
                <w:color w:val="000000"/>
                <w:sz w:val="20"/>
                <w:szCs w:val="20"/>
              </w:rPr>
              <w:t xml:space="preserve"> </w:t>
            </w:r>
            <w:r w:rsidRPr="00F53B43">
              <w:rPr>
                <w:bCs/>
                <w:color w:val="000000"/>
                <w:sz w:val="20"/>
                <w:szCs w:val="20"/>
              </w:rPr>
              <w:t>of 16 February 2011 on combating late payment in commercial transactions</w:t>
            </w:r>
          </w:p>
        </w:tc>
        <w:tc>
          <w:tcPr>
            <w:tcW w:w="1161" w:type="pct"/>
            <w:gridSpan w:val="3"/>
            <w:tcBorders>
              <w:top w:val="nil"/>
              <w:bottom w:val="single" w:sz="4" w:space="0" w:color="auto"/>
            </w:tcBorders>
          </w:tcPr>
          <w:p w:rsidR="008B199E" w:rsidRPr="00F53B43" w:rsidRDefault="008B199E" w:rsidP="00D64398">
            <w:pPr>
              <w:rPr>
                <w:sz w:val="20"/>
                <w:szCs w:val="20"/>
                <w:lang w:val="sr-Cyrl-CS"/>
              </w:rPr>
            </w:pPr>
          </w:p>
          <w:p w:rsidR="008B199E" w:rsidRPr="00F53B43" w:rsidRDefault="008B199E" w:rsidP="00D64398">
            <w:pPr>
              <w:rPr>
                <w:iCs/>
                <w:color w:val="000000"/>
                <w:sz w:val="20"/>
                <w:szCs w:val="20"/>
                <w:lang w:val="sr-Cyrl-CS"/>
              </w:rPr>
            </w:pPr>
            <w:r w:rsidRPr="00F53B43">
              <w:rPr>
                <w:rStyle w:val="Strong"/>
                <w:b w:val="0"/>
                <w:sz w:val="20"/>
                <w:szCs w:val="20"/>
                <w:lang w:val="sr-Latn-CS"/>
              </w:rPr>
              <w:t>32011L00</w:t>
            </w:r>
            <w:r w:rsidRPr="00F53B43">
              <w:rPr>
                <w:rStyle w:val="Strong"/>
                <w:b w:val="0"/>
                <w:sz w:val="20"/>
                <w:szCs w:val="20"/>
              </w:rPr>
              <w:t>07</w:t>
            </w:r>
          </w:p>
        </w:tc>
      </w:tr>
      <w:tr w:rsidR="008B199E" w:rsidRPr="00F53B43" w:rsidTr="00D64398">
        <w:trPr>
          <w:jc w:val="center"/>
        </w:trPr>
        <w:tc>
          <w:tcPr>
            <w:tcW w:w="3839" w:type="pct"/>
            <w:gridSpan w:val="6"/>
            <w:tcBorders>
              <w:bottom w:val="nil"/>
            </w:tcBorders>
          </w:tcPr>
          <w:p w:rsidR="008B199E" w:rsidRPr="00F53B43" w:rsidRDefault="008B199E" w:rsidP="00D64398">
            <w:pPr>
              <w:pStyle w:val="FootnoteText"/>
              <w:spacing w:before="120" w:after="120"/>
              <w:jc w:val="both"/>
              <w:rPr>
                <w:rFonts w:ascii="Times New Roman" w:hAnsi="Times New Roman" w:cs="Times New Roman"/>
                <w:iCs/>
                <w:color w:val="000000"/>
                <w:lang w:val="ru-RU"/>
              </w:rPr>
            </w:pPr>
            <w:r w:rsidRPr="00F53B43">
              <w:rPr>
                <w:rFonts w:ascii="Times New Roman" w:hAnsi="Times New Roman" w:cs="Times New Roman"/>
                <w:b/>
                <w:color w:val="000000"/>
                <w:lang w:val="sr-Cyrl-CS"/>
              </w:rPr>
              <w:t>3</w:t>
            </w:r>
            <w:r w:rsidRPr="00F53B43">
              <w:rPr>
                <w:rFonts w:ascii="Times New Roman" w:hAnsi="Times New Roman" w:cs="Times New Roman"/>
                <w:color w:val="000000"/>
                <w:lang w:val="sr-Cyrl-CS"/>
              </w:rPr>
              <w:t xml:space="preserve">. </w:t>
            </w:r>
            <w:r w:rsidRPr="00F53B43">
              <w:rPr>
                <w:rFonts w:ascii="Times New Roman" w:hAnsi="Times New Roman" w:cs="Times New Roman"/>
                <w:iCs/>
                <w:color w:val="000000"/>
                <w:lang w:val="sr-Cyrl-CS"/>
              </w:rPr>
              <w:t xml:space="preserve"> О</w:t>
            </w:r>
            <w:r w:rsidRPr="00F53B43">
              <w:rPr>
                <w:rFonts w:ascii="Times New Roman" w:hAnsi="Times New Roman" w:cs="Times New Roman"/>
                <w:iCs/>
                <w:color w:val="000000"/>
                <w:lang w:val="ru-RU"/>
              </w:rPr>
              <w:t xml:space="preserve">влашћени предлагач прописа – Влада </w:t>
            </w:r>
          </w:p>
        </w:tc>
        <w:tc>
          <w:tcPr>
            <w:tcW w:w="1161" w:type="pct"/>
            <w:gridSpan w:val="3"/>
            <w:tcBorders>
              <w:bottom w:val="nil"/>
            </w:tcBorders>
          </w:tcPr>
          <w:p w:rsidR="008B199E" w:rsidRPr="00F53B43" w:rsidRDefault="008B199E" w:rsidP="00D64398">
            <w:pPr>
              <w:pStyle w:val="FootnoteText"/>
              <w:spacing w:before="120" w:after="120"/>
              <w:rPr>
                <w:rFonts w:ascii="Times New Roman" w:hAnsi="Times New Roman" w:cs="Times New Roman"/>
                <w:iCs/>
                <w:color w:val="000000"/>
                <w:lang w:val="sr-Cyrl-CS"/>
              </w:rPr>
            </w:pPr>
            <w:r w:rsidRPr="00F53B43">
              <w:rPr>
                <w:rFonts w:ascii="Times New Roman" w:hAnsi="Times New Roman" w:cs="Times New Roman"/>
                <w:b/>
                <w:iCs/>
                <w:color w:val="000000"/>
                <w:lang w:val="sr-Cyrl-CS"/>
              </w:rPr>
              <w:t>4.</w:t>
            </w:r>
            <w:r w:rsidRPr="00F53B43">
              <w:rPr>
                <w:rFonts w:ascii="Times New Roman" w:hAnsi="Times New Roman" w:cs="Times New Roman"/>
                <w:iCs/>
                <w:color w:val="000000"/>
                <w:lang w:val="sr-Cyrl-CS"/>
              </w:rPr>
              <w:t xml:space="preserve"> </w:t>
            </w:r>
            <w:r w:rsidRPr="00F53B43">
              <w:rPr>
                <w:rFonts w:ascii="Times New Roman" w:hAnsi="Times New Roman" w:cs="Times New Roman"/>
                <w:iCs/>
                <w:color w:val="000000"/>
                <w:lang w:val="ru-RU"/>
              </w:rPr>
              <w:t>датум израде табеле</w:t>
            </w:r>
          </w:p>
        </w:tc>
      </w:tr>
      <w:tr w:rsidR="008B199E" w:rsidRPr="00F53B43" w:rsidTr="00D64398">
        <w:trPr>
          <w:jc w:val="center"/>
        </w:trPr>
        <w:tc>
          <w:tcPr>
            <w:tcW w:w="3839" w:type="pct"/>
            <w:gridSpan w:val="6"/>
            <w:tcBorders>
              <w:top w:val="nil"/>
              <w:bottom w:val="single" w:sz="4" w:space="0" w:color="auto"/>
            </w:tcBorders>
          </w:tcPr>
          <w:p w:rsidR="008B199E" w:rsidRPr="00F53B43" w:rsidRDefault="008B199E" w:rsidP="006F1A6C">
            <w:pPr>
              <w:pStyle w:val="FootnoteText"/>
              <w:spacing w:before="120" w:after="120"/>
              <w:rPr>
                <w:rFonts w:ascii="Times New Roman" w:hAnsi="Times New Roman" w:cs="Times New Roman"/>
                <w:iCs/>
                <w:color w:val="000000"/>
                <w:lang w:val="ru-RU"/>
              </w:rPr>
            </w:pPr>
            <w:r w:rsidRPr="00F53B43">
              <w:rPr>
                <w:rFonts w:ascii="Times New Roman" w:hAnsi="Times New Roman" w:cs="Times New Roman"/>
                <w:iCs/>
                <w:color w:val="000000"/>
                <w:lang w:val="ru-RU"/>
              </w:rPr>
              <w:t xml:space="preserve">Обрађивач: </w:t>
            </w:r>
            <w:r w:rsidR="006F1A6C" w:rsidRPr="00F53B43">
              <w:rPr>
                <w:rFonts w:ascii="Times New Roman" w:hAnsi="Times New Roman" w:cs="Times New Roman"/>
                <w:iCs/>
                <w:color w:val="000000"/>
                <w:lang w:val="ru-RU"/>
              </w:rPr>
              <w:t>Министарство финансија</w:t>
            </w:r>
          </w:p>
        </w:tc>
        <w:tc>
          <w:tcPr>
            <w:tcW w:w="1161" w:type="pct"/>
            <w:gridSpan w:val="3"/>
            <w:tcBorders>
              <w:top w:val="nil"/>
              <w:bottom w:val="single" w:sz="4" w:space="0" w:color="auto"/>
            </w:tcBorders>
          </w:tcPr>
          <w:p w:rsidR="008B199E" w:rsidRPr="00F53B43" w:rsidRDefault="008B199E" w:rsidP="00D64398">
            <w:pPr>
              <w:pStyle w:val="FootnoteText"/>
              <w:spacing w:before="120" w:after="120"/>
              <w:rPr>
                <w:rFonts w:ascii="Times New Roman" w:hAnsi="Times New Roman" w:cs="Times New Roman"/>
                <w:iCs/>
                <w:color w:val="000000"/>
                <w:lang w:val="ru-RU"/>
              </w:rPr>
            </w:pPr>
            <w:r w:rsidRPr="00F53B43">
              <w:rPr>
                <w:rFonts w:ascii="Times New Roman" w:hAnsi="Times New Roman" w:cs="Times New Roman"/>
                <w:iCs/>
                <w:color w:val="000000"/>
              </w:rPr>
              <w:t>16</w:t>
            </w:r>
            <w:r w:rsidRPr="00F53B43">
              <w:rPr>
                <w:rFonts w:ascii="Times New Roman" w:hAnsi="Times New Roman" w:cs="Times New Roman"/>
                <w:iCs/>
                <w:color w:val="000000"/>
                <w:lang w:val="sr-Cyrl-CS"/>
              </w:rPr>
              <w:t xml:space="preserve">. </w:t>
            </w:r>
            <w:proofErr w:type="spellStart"/>
            <w:proofErr w:type="gramStart"/>
            <w:r w:rsidRPr="00F53B43">
              <w:rPr>
                <w:rFonts w:ascii="Times New Roman" w:hAnsi="Times New Roman" w:cs="Times New Roman"/>
                <w:iCs/>
                <w:color w:val="000000"/>
              </w:rPr>
              <w:t>јун</w:t>
            </w:r>
            <w:proofErr w:type="spellEnd"/>
            <w:proofErr w:type="gramEnd"/>
            <w:r w:rsidRPr="00F53B43">
              <w:rPr>
                <w:rFonts w:ascii="Times New Roman" w:hAnsi="Times New Roman" w:cs="Times New Roman"/>
                <w:iCs/>
                <w:color w:val="000000"/>
                <w:lang w:val="sr-Cyrl-CS"/>
              </w:rPr>
              <w:t xml:space="preserve"> 2015. године</w:t>
            </w:r>
          </w:p>
        </w:tc>
      </w:tr>
      <w:tr w:rsidR="008B199E" w:rsidRPr="00F53B43" w:rsidTr="00D64398">
        <w:trPr>
          <w:jc w:val="center"/>
        </w:trPr>
        <w:tc>
          <w:tcPr>
            <w:tcW w:w="3839" w:type="pct"/>
            <w:gridSpan w:val="6"/>
            <w:tcBorders>
              <w:bottom w:val="nil"/>
            </w:tcBorders>
          </w:tcPr>
          <w:p w:rsidR="008B199E" w:rsidRPr="00F53B43" w:rsidRDefault="008B199E" w:rsidP="00D64398">
            <w:pPr>
              <w:pStyle w:val="FootnoteText"/>
              <w:spacing w:before="120" w:after="120"/>
              <w:rPr>
                <w:rFonts w:ascii="Times New Roman" w:hAnsi="Times New Roman" w:cs="Times New Roman"/>
                <w:color w:val="000000"/>
                <w:lang w:val="ru-RU"/>
              </w:rPr>
            </w:pPr>
            <w:r w:rsidRPr="00F53B43">
              <w:rPr>
                <w:rFonts w:ascii="Times New Roman" w:hAnsi="Times New Roman" w:cs="Times New Roman"/>
                <w:b/>
                <w:iCs/>
                <w:color w:val="000000"/>
                <w:lang w:val="ru-RU"/>
              </w:rPr>
              <w:t>5</w:t>
            </w:r>
            <w:r w:rsidRPr="00F53B43">
              <w:rPr>
                <w:rFonts w:ascii="Times New Roman" w:hAnsi="Times New Roman" w:cs="Times New Roman"/>
                <w:iCs/>
                <w:color w:val="000000"/>
                <w:lang w:val="ru-RU"/>
              </w:rPr>
              <w:t xml:space="preserve">. </w:t>
            </w:r>
            <w:r w:rsidRPr="00F53B43">
              <w:rPr>
                <w:rFonts w:ascii="Times New Roman" w:hAnsi="Times New Roman" w:cs="Times New Roman"/>
                <w:color w:val="000000"/>
                <w:lang w:val="sr-Cyrl-CS"/>
              </w:rPr>
              <w:t xml:space="preserve">Назив (важећег, нацрта, предлога) прописа </w:t>
            </w:r>
            <w:r w:rsidRPr="00F53B43">
              <w:rPr>
                <w:rFonts w:ascii="Times New Roman" w:hAnsi="Times New Roman" w:cs="Times New Roman"/>
                <w:iCs/>
                <w:color w:val="000000"/>
                <w:lang w:val="ru-RU"/>
              </w:rPr>
              <w:t>чије одредбе су предмет анализе усклађености са прописом ЕУ</w:t>
            </w:r>
          </w:p>
        </w:tc>
        <w:tc>
          <w:tcPr>
            <w:tcW w:w="1161" w:type="pct"/>
            <w:gridSpan w:val="3"/>
            <w:tcBorders>
              <w:bottom w:val="nil"/>
            </w:tcBorders>
          </w:tcPr>
          <w:p w:rsidR="008B199E" w:rsidRPr="00F53B43" w:rsidRDefault="008B199E" w:rsidP="00D64398">
            <w:pPr>
              <w:pStyle w:val="FootnoteText"/>
              <w:spacing w:before="120" w:after="120"/>
              <w:rPr>
                <w:rFonts w:ascii="Times New Roman" w:hAnsi="Times New Roman" w:cs="Times New Roman"/>
                <w:iCs/>
                <w:color w:val="000000"/>
                <w:lang w:val="sr-Cyrl-CS"/>
              </w:rPr>
            </w:pPr>
            <w:r w:rsidRPr="00F53B43">
              <w:rPr>
                <w:rFonts w:ascii="Times New Roman" w:hAnsi="Times New Roman" w:cs="Times New Roman"/>
                <w:b/>
                <w:iCs/>
                <w:color w:val="000000"/>
                <w:lang w:val="ru-RU"/>
              </w:rPr>
              <w:t>6</w:t>
            </w:r>
            <w:r w:rsidRPr="00F53B43">
              <w:rPr>
                <w:rFonts w:ascii="Times New Roman" w:hAnsi="Times New Roman" w:cs="Times New Roman"/>
                <w:iCs/>
                <w:color w:val="000000"/>
                <w:lang w:val="ru-RU"/>
              </w:rPr>
              <w:t>. Бројчане озна</w:t>
            </w:r>
            <w:r w:rsidRPr="00F53B43">
              <w:rPr>
                <w:rFonts w:ascii="Times New Roman" w:hAnsi="Times New Roman" w:cs="Times New Roman"/>
                <w:iCs/>
                <w:color w:val="000000"/>
                <w:lang w:val="sr-Cyrl-CS"/>
              </w:rPr>
              <w:t>к</w:t>
            </w:r>
            <w:r w:rsidRPr="00F53B43">
              <w:rPr>
                <w:rFonts w:ascii="Times New Roman" w:hAnsi="Times New Roman" w:cs="Times New Roman"/>
                <w:iCs/>
                <w:color w:val="000000"/>
                <w:lang w:val="ru-RU"/>
              </w:rPr>
              <w:t>е (шифре) планираних прописа из базе НПИ</w:t>
            </w:r>
          </w:p>
        </w:tc>
      </w:tr>
      <w:tr w:rsidR="008B199E" w:rsidRPr="00F53B43" w:rsidTr="00D64398">
        <w:trPr>
          <w:jc w:val="center"/>
        </w:trPr>
        <w:tc>
          <w:tcPr>
            <w:tcW w:w="3839" w:type="pct"/>
            <w:gridSpan w:val="6"/>
            <w:tcBorders>
              <w:top w:val="nil"/>
            </w:tcBorders>
          </w:tcPr>
          <w:p w:rsidR="008B199E" w:rsidRPr="00F53B43" w:rsidRDefault="00F53B43" w:rsidP="008B199E">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lang w:val="sr-Cyrl-RS"/>
              </w:rPr>
              <w:t>Предлог</w:t>
            </w:r>
            <w:r w:rsidR="008B199E" w:rsidRPr="00F53B43">
              <w:rPr>
                <w:rFonts w:ascii="Times New Roman CYR" w:hAnsi="Times New Roman CYR" w:cs="Times New Roman CYR"/>
                <w:sz w:val="20"/>
                <w:szCs w:val="20"/>
              </w:rPr>
              <w:t xml:space="preserve"> </w:t>
            </w:r>
            <w:proofErr w:type="spellStart"/>
            <w:r w:rsidR="008B199E" w:rsidRPr="00F53B43">
              <w:rPr>
                <w:rFonts w:ascii="Times New Roman CYR" w:hAnsi="Times New Roman CYR" w:cs="Times New Roman CYR"/>
                <w:sz w:val="20"/>
                <w:szCs w:val="20"/>
              </w:rPr>
              <w:t>закона</w:t>
            </w:r>
            <w:proofErr w:type="spellEnd"/>
            <w:r w:rsidR="008B199E" w:rsidRPr="00F53B43">
              <w:rPr>
                <w:rFonts w:ascii="Times New Roman CYR" w:hAnsi="Times New Roman CYR" w:cs="Times New Roman CYR"/>
                <w:sz w:val="20"/>
                <w:szCs w:val="20"/>
              </w:rPr>
              <w:t xml:space="preserve"> о </w:t>
            </w:r>
            <w:proofErr w:type="spellStart"/>
            <w:r w:rsidR="008B199E" w:rsidRPr="00F53B43">
              <w:rPr>
                <w:rFonts w:ascii="Times New Roman CYR" w:hAnsi="Times New Roman CYR" w:cs="Times New Roman CYR"/>
                <w:sz w:val="20"/>
                <w:szCs w:val="20"/>
              </w:rPr>
              <w:t>изменама</w:t>
            </w:r>
            <w:proofErr w:type="spellEnd"/>
            <w:r w:rsidR="008B199E" w:rsidRPr="00F53B43">
              <w:rPr>
                <w:rFonts w:ascii="Times New Roman CYR" w:hAnsi="Times New Roman CYR" w:cs="Times New Roman CYR"/>
                <w:sz w:val="20"/>
                <w:szCs w:val="20"/>
              </w:rPr>
              <w:t xml:space="preserve"> и </w:t>
            </w:r>
            <w:proofErr w:type="spellStart"/>
            <w:r w:rsidR="008B199E" w:rsidRPr="00F53B43">
              <w:rPr>
                <w:rFonts w:ascii="Times New Roman CYR" w:hAnsi="Times New Roman CYR" w:cs="Times New Roman CYR"/>
                <w:sz w:val="20"/>
                <w:szCs w:val="20"/>
              </w:rPr>
              <w:t>допуни</w:t>
            </w:r>
            <w:proofErr w:type="spellEnd"/>
            <w:r w:rsidR="008B199E" w:rsidRPr="00F53B43">
              <w:rPr>
                <w:rFonts w:ascii="Times New Roman CYR" w:hAnsi="Times New Roman CYR" w:cs="Times New Roman CYR"/>
                <w:sz w:val="20"/>
                <w:szCs w:val="20"/>
              </w:rPr>
              <w:t xml:space="preserve"> </w:t>
            </w:r>
            <w:proofErr w:type="spellStart"/>
            <w:r w:rsidR="008B199E" w:rsidRPr="00F53B43">
              <w:rPr>
                <w:rFonts w:ascii="Times New Roman CYR" w:hAnsi="Times New Roman CYR" w:cs="Times New Roman CYR"/>
                <w:sz w:val="20"/>
                <w:szCs w:val="20"/>
              </w:rPr>
              <w:t>Закона</w:t>
            </w:r>
            <w:proofErr w:type="spellEnd"/>
            <w:r w:rsidR="008B199E" w:rsidRPr="00F53B43">
              <w:rPr>
                <w:rFonts w:ascii="Times New Roman CYR" w:hAnsi="Times New Roman CYR" w:cs="Times New Roman CYR"/>
                <w:sz w:val="20"/>
                <w:szCs w:val="20"/>
              </w:rPr>
              <w:t xml:space="preserve"> о </w:t>
            </w:r>
            <w:proofErr w:type="spellStart"/>
            <w:r w:rsidR="008B199E" w:rsidRPr="00F53B43">
              <w:rPr>
                <w:rFonts w:ascii="Times New Roman CYR" w:hAnsi="Times New Roman CYR" w:cs="Times New Roman CYR"/>
                <w:sz w:val="20"/>
                <w:szCs w:val="20"/>
              </w:rPr>
              <w:t>роковима</w:t>
            </w:r>
            <w:proofErr w:type="spellEnd"/>
            <w:r w:rsidR="008B199E" w:rsidRPr="00F53B43">
              <w:rPr>
                <w:rFonts w:ascii="Times New Roman CYR" w:hAnsi="Times New Roman CYR" w:cs="Times New Roman CYR"/>
                <w:sz w:val="20"/>
                <w:szCs w:val="20"/>
              </w:rPr>
              <w:t xml:space="preserve"> </w:t>
            </w:r>
            <w:proofErr w:type="spellStart"/>
            <w:r w:rsidR="008B199E" w:rsidRPr="00F53B43">
              <w:rPr>
                <w:rFonts w:ascii="Times New Roman CYR" w:hAnsi="Times New Roman CYR" w:cs="Times New Roman CYR"/>
                <w:sz w:val="20"/>
                <w:szCs w:val="20"/>
              </w:rPr>
              <w:t>измирења</w:t>
            </w:r>
            <w:proofErr w:type="spellEnd"/>
            <w:r w:rsidR="008B199E" w:rsidRPr="00F53B43">
              <w:rPr>
                <w:rFonts w:ascii="Times New Roman CYR" w:hAnsi="Times New Roman CYR" w:cs="Times New Roman CYR"/>
                <w:sz w:val="20"/>
                <w:szCs w:val="20"/>
              </w:rPr>
              <w:t xml:space="preserve"> </w:t>
            </w:r>
            <w:proofErr w:type="spellStart"/>
            <w:r w:rsidR="008B199E" w:rsidRPr="00F53B43">
              <w:rPr>
                <w:rFonts w:ascii="Times New Roman CYR" w:hAnsi="Times New Roman CYR" w:cs="Times New Roman CYR"/>
                <w:sz w:val="20"/>
                <w:szCs w:val="20"/>
              </w:rPr>
              <w:t>новчаних</w:t>
            </w:r>
            <w:proofErr w:type="spellEnd"/>
            <w:r w:rsidR="008B199E" w:rsidRPr="00F53B43">
              <w:rPr>
                <w:rFonts w:ascii="Times New Roman CYR" w:hAnsi="Times New Roman CYR" w:cs="Times New Roman CYR"/>
                <w:sz w:val="20"/>
                <w:szCs w:val="20"/>
              </w:rPr>
              <w:t xml:space="preserve"> </w:t>
            </w:r>
            <w:proofErr w:type="spellStart"/>
            <w:r w:rsidR="008B199E" w:rsidRPr="00F53B43">
              <w:rPr>
                <w:rFonts w:ascii="Times New Roman CYR" w:hAnsi="Times New Roman CYR" w:cs="Times New Roman CYR"/>
                <w:sz w:val="20"/>
                <w:szCs w:val="20"/>
              </w:rPr>
              <w:t>обавеза</w:t>
            </w:r>
            <w:proofErr w:type="spellEnd"/>
            <w:r w:rsidR="008B199E" w:rsidRPr="00F53B43">
              <w:rPr>
                <w:rFonts w:ascii="Times New Roman CYR" w:hAnsi="Times New Roman CYR" w:cs="Times New Roman CYR"/>
                <w:sz w:val="20"/>
                <w:szCs w:val="20"/>
              </w:rPr>
              <w:t xml:space="preserve"> у </w:t>
            </w:r>
            <w:proofErr w:type="spellStart"/>
            <w:r w:rsidR="008B199E" w:rsidRPr="00F53B43">
              <w:rPr>
                <w:rFonts w:ascii="Times New Roman CYR" w:hAnsi="Times New Roman CYR" w:cs="Times New Roman CYR"/>
                <w:sz w:val="20"/>
                <w:szCs w:val="20"/>
              </w:rPr>
              <w:t>комерцијалним</w:t>
            </w:r>
            <w:proofErr w:type="spellEnd"/>
            <w:r w:rsidR="008B199E" w:rsidRPr="00F53B43">
              <w:rPr>
                <w:rFonts w:ascii="Times New Roman CYR" w:hAnsi="Times New Roman CYR" w:cs="Times New Roman CYR"/>
                <w:sz w:val="20"/>
                <w:szCs w:val="20"/>
              </w:rPr>
              <w:t xml:space="preserve"> </w:t>
            </w:r>
            <w:proofErr w:type="spellStart"/>
            <w:r w:rsidR="008B199E" w:rsidRPr="00F53B43">
              <w:rPr>
                <w:rFonts w:ascii="Times New Roman CYR" w:hAnsi="Times New Roman CYR" w:cs="Times New Roman CYR"/>
                <w:sz w:val="20"/>
                <w:szCs w:val="20"/>
              </w:rPr>
              <w:t>трансакцијама</w:t>
            </w:r>
            <w:proofErr w:type="spellEnd"/>
          </w:p>
          <w:p w:rsidR="008B199E" w:rsidRPr="00F53B43" w:rsidRDefault="008B199E" w:rsidP="008B199E">
            <w:pPr>
              <w:widowControl w:val="0"/>
              <w:autoSpaceDE w:val="0"/>
              <w:autoSpaceDN w:val="0"/>
              <w:adjustRightInd w:val="0"/>
              <w:rPr>
                <w:sz w:val="20"/>
                <w:szCs w:val="20"/>
              </w:rPr>
            </w:pPr>
          </w:p>
          <w:p w:rsidR="008B199E" w:rsidRPr="00F53B43" w:rsidRDefault="008B199E" w:rsidP="008B199E">
            <w:pPr>
              <w:widowControl w:val="0"/>
              <w:autoSpaceDE w:val="0"/>
              <w:autoSpaceDN w:val="0"/>
              <w:adjustRightInd w:val="0"/>
              <w:rPr>
                <w:sz w:val="20"/>
                <w:szCs w:val="20"/>
              </w:rPr>
            </w:pPr>
            <w:r w:rsidRPr="00F53B43">
              <w:rPr>
                <w:sz w:val="20"/>
                <w:szCs w:val="20"/>
              </w:rPr>
              <w:t>Draft Law on Amendments and Supplement to the Law on deadlines for monetary obligations payments in commercial transactions</w:t>
            </w:r>
            <w:r w:rsidRPr="00F53B43">
              <w:rPr>
                <w:sz w:val="20"/>
                <w:szCs w:val="20"/>
                <w:lang w:val="sr-Latn-CS"/>
              </w:rPr>
              <w:t xml:space="preserve"> </w:t>
            </w:r>
          </w:p>
        </w:tc>
        <w:tc>
          <w:tcPr>
            <w:tcW w:w="1161" w:type="pct"/>
            <w:gridSpan w:val="3"/>
            <w:tcBorders>
              <w:top w:val="nil"/>
            </w:tcBorders>
          </w:tcPr>
          <w:p w:rsidR="008B199E" w:rsidRPr="00F53B43" w:rsidRDefault="008B199E" w:rsidP="00D64398">
            <w:pPr>
              <w:pStyle w:val="FootnoteText"/>
              <w:spacing w:before="120" w:after="120"/>
              <w:rPr>
                <w:rFonts w:ascii="Times New Roman" w:hAnsi="Times New Roman" w:cs="Times New Roman"/>
                <w:iCs/>
                <w:color w:val="000000"/>
              </w:rPr>
            </w:pPr>
          </w:p>
        </w:tc>
      </w:tr>
      <w:tr w:rsidR="008B199E" w:rsidRPr="00F53B43" w:rsidTr="00D64398">
        <w:trPr>
          <w:jc w:val="center"/>
        </w:trPr>
        <w:tc>
          <w:tcPr>
            <w:tcW w:w="5000" w:type="pct"/>
            <w:gridSpan w:val="9"/>
          </w:tcPr>
          <w:p w:rsidR="008B199E" w:rsidRPr="00F53B43" w:rsidRDefault="008B199E" w:rsidP="00D64398">
            <w:pPr>
              <w:spacing w:before="120" w:after="120"/>
              <w:rPr>
                <w:color w:val="000000"/>
                <w:sz w:val="20"/>
                <w:szCs w:val="20"/>
                <w:lang w:val="ru-RU"/>
              </w:rPr>
            </w:pPr>
            <w:r w:rsidRPr="00F53B43">
              <w:rPr>
                <w:b/>
                <w:color w:val="000000"/>
                <w:sz w:val="20"/>
                <w:szCs w:val="20"/>
                <w:lang w:val="ru-RU"/>
              </w:rPr>
              <w:t>7</w:t>
            </w:r>
            <w:r w:rsidRPr="00F53B43">
              <w:rPr>
                <w:color w:val="000000"/>
                <w:sz w:val="20"/>
                <w:szCs w:val="20"/>
                <w:lang w:val="sr-Cyrl-CS"/>
              </w:rPr>
              <w:t xml:space="preserve">. </w:t>
            </w:r>
            <w:r w:rsidRPr="00F53B43">
              <w:rPr>
                <w:iCs/>
                <w:color w:val="000000"/>
                <w:sz w:val="20"/>
                <w:szCs w:val="20"/>
                <w:lang w:val="sr-Cyrl-CS"/>
              </w:rPr>
              <w:t>Усклађеност одредаба прописа са одредбама прописа ЕУ</w:t>
            </w:r>
          </w:p>
        </w:tc>
      </w:tr>
      <w:tr w:rsidR="008B199E" w:rsidRPr="00F53B43" w:rsidTr="00D64398">
        <w:trPr>
          <w:jc w:val="center"/>
        </w:trPr>
        <w:tc>
          <w:tcPr>
            <w:tcW w:w="489" w:type="pct"/>
          </w:tcPr>
          <w:p w:rsidR="008B199E" w:rsidRPr="00F53B43" w:rsidRDefault="008B199E" w:rsidP="00D64398">
            <w:pPr>
              <w:spacing w:before="120" w:after="120"/>
              <w:ind w:firstLine="5"/>
              <w:rPr>
                <w:color w:val="000000"/>
                <w:sz w:val="20"/>
                <w:szCs w:val="20"/>
              </w:rPr>
            </w:pPr>
            <w:r w:rsidRPr="00F53B43">
              <w:rPr>
                <w:color w:val="000000"/>
                <w:sz w:val="20"/>
                <w:szCs w:val="20"/>
              </w:rPr>
              <w:t>а)</w:t>
            </w:r>
          </w:p>
        </w:tc>
        <w:tc>
          <w:tcPr>
            <w:tcW w:w="768" w:type="pct"/>
          </w:tcPr>
          <w:p w:rsidR="008B199E" w:rsidRPr="00F53B43" w:rsidRDefault="008B199E" w:rsidP="00D64398">
            <w:pPr>
              <w:spacing w:before="120" w:after="120"/>
              <w:ind w:firstLine="5"/>
              <w:rPr>
                <w:color w:val="000000"/>
                <w:sz w:val="20"/>
                <w:szCs w:val="20"/>
                <w:lang w:val="sr-Cyrl-CS"/>
              </w:rPr>
            </w:pPr>
            <w:r w:rsidRPr="00F53B43">
              <w:rPr>
                <w:color w:val="000000"/>
                <w:sz w:val="20"/>
                <w:szCs w:val="20"/>
                <w:lang w:val="sr-Cyrl-CS"/>
              </w:rPr>
              <w:t>а1)</w:t>
            </w:r>
          </w:p>
        </w:tc>
        <w:tc>
          <w:tcPr>
            <w:tcW w:w="460" w:type="pct"/>
          </w:tcPr>
          <w:p w:rsidR="008B199E" w:rsidRPr="00F53B43" w:rsidRDefault="008B199E" w:rsidP="00D64398">
            <w:pPr>
              <w:spacing w:before="120" w:after="120"/>
              <w:ind w:left="-50"/>
              <w:rPr>
                <w:color w:val="000000"/>
                <w:sz w:val="20"/>
                <w:szCs w:val="20"/>
              </w:rPr>
            </w:pPr>
            <w:r w:rsidRPr="00F53B43">
              <w:rPr>
                <w:color w:val="000000"/>
                <w:sz w:val="20"/>
                <w:szCs w:val="20"/>
              </w:rPr>
              <w:t>б)</w:t>
            </w:r>
          </w:p>
        </w:tc>
        <w:tc>
          <w:tcPr>
            <w:tcW w:w="817" w:type="pct"/>
          </w:tcPr>
          <w:p w:rsidR="008B199E" w:rsidRPr="00F53B43" w:rsidRDefault="008B199E" w:rsidP="00D64398">
            <w:pPr>
              <w:spacing w:before="120" w:after="120"/>
              <w:ind w:left="-50"/>
              <w:rPr>
                <w:color w:val="000000"/>
                <w:sz w:val="20"/>
                <w:szCs w:val="20"/>
                <w:lang w:val="sr-Cyrl-CS"/>
              </w:rPr>
            </w:pPr>
            <w:r w:rsidRPr="00F53B43">
              <w:rPr>
                <w:color w:val="000000"/>
                <w:sz w:val="20"/>
                <w:szCs w:val="20"/>
                <w:lang w:val="sr-Cyrl-CS"/>
              </w:rPr>
              <w:t>б1)</w:t>
            </w:r>
          </w:p>
        </w:tc>
        <w:tc>
          <w:tcPr>
            <w:tcW w:w="787" w:type="pct"/>
          </w:tcPr>
          <w:p w:rsidR="008B199E" w:rsidRPr="00F53B43" w:rsidRDefault="008B199E" w:rsidP="00D64398">
            <w:pPr>
              <w:spacing w:before="120" w:after="120"/>
              <w:rPr>
                <w:color w:val="000000"/>
                <w:sz w:val="20"/>
                <w:szCs w:val="20"/>
              </w:rPr>
            </w:pPr>
            <w:r w:rsidRPr="00F53B43">
              <w:rPr>
                <w:color w:val="000000"/>
                <w:sz w:val="20"/>
                <w:szCs w:val="20"/>
                <w:lang w:val="sr-Cyrl-CS"/>
              </w:rPr>
              <w:t>в</w:t>
            </w:r>
            <w:r w:rsidRPr="00F53B43">
              <w:rPr>
                <w:color w:val="000000"/>
                <w:sz w:val="20"/>
                <w:szCs w:val="20"/>
              </w:rPr>
              <w:t>)</w:t>
            </w:r>
          </w:p>
        </w:tc>
        <w:tc>
          <w:tcPr>
            <w:tcW w:w="591" w:type="pct"/>
            <w:gridSpan w:val="2"/>
          </w:tcPr>
          <w:p w:rsidR="008B199E" w:rsidRPr="00F53B43" w:rsidRDefault="008B199E" w:rsidP="00D64398">
            <w:pPr>
              <w:spacing w:before="120" w:after="120"/>
              <w:ind w:firstLine="21"/>
              <w:rPr>
                <w:color w:val="000000"/>
                <w:sz w:val="20"/>
                <w:szCs w:val="20"/>
              </w:rPr>
            </w:pPr>
            <w:r w:rsidRPr="00F53B43">
              <w:rPr>
                <w:color w:val="000000"/>
                <w:sz w:val="20"/>
                <w:szCs w:val="20"/>
                <w:lang w:val="sr-Cyrl-CS"/>
              </w:rPr>
              <w:t>г</w:t>
            </w:r>
            <w:r w:rsidRPr="00F53B43">
              <w:rPr>
                <w:color w:val="000000"/>
                <w:sz w:val="20"/>
                <w:szCs w:val="20"/>
              </w:rPr>
              <w:t>)</w:t>
            </w:r>
          </w:p>
        </w:tc>
        <w:tc>
          <w:tcPr>
            <w:tcW w:w="579" w:type="pct"/>
          </w:tcPr>
          <w:p w:rsidR="008B199E" w:rsidRPr="00F53B43" w:rsidRDefault="008B199E" w:rsidP="00D64398">
            <w:pPr>
              <w:spacing w:before="120" w:after="120"/>
              <w:rPr>
                <w:color w:val="000000"/>
                <w:sz w:val="20"/>
                <w:szCs w:val="20"/>
              </w:rPr>
            </w:pPr>
            <w:r w:rsidRPr="00F53B43">
              <w:rPr>
                <w:color w:val="000000"/>
                <w:sz w:val="20"/>
                <w:szCs w:val="20"/>
                <w:lang w:val="sr-Cyrl-CS"/>
              </w:rPr>
              <w:t>д</w:t>
            </w:r>
            <w:r w:rsidRPr="00F53B43">
              <w:rPr>
                <w:color w:val="000000"/>
                <w:sz w:val="20"/>
                <w:szCs w:val="20"/>
              </w:rPr>
              <w:t>)</w:t>
            </w:r>
          </w:p>
        </w:tc>
        <w:tc>
          <w:tcPr>
            <w:tcW w:w="509" w:type="pct"/>
          </w:tcPr>
          <w:p w:rsidR="008B199E" w:rsidRPr="00F53B43" w:rsidRDefault="008B199E" w:rsidP="00D64398">
            <w:pPr>
              <w:spacing w:before="120" w:after="120"/>
              <w:rPr>
                <w:color w:val="000000"/>
                <w:sz w:val="20"/>
                <w:szCs w:val="20"/>
                <w:lang w:val="sr-Cyrl-CS"/>
              </w:rPr>
            </w:pPr>
            <w:r w:rsidRPr="00F53B43">
              <w:rPr>
                <w:color w:val="000000"/>
                <w:sz w:val="20"/>
                <w:szCs w:val="20"/>
                <w:lang w:val="sr-Cyrl-CS"/>
              </w:rPr>
              <w:t>ђ)</w:t>
            </w:r>
          </w:p>
        </w:tc>
      </w:tr>
      <w:tr w:rsidR="008B199E" w:rsidRPr="00F53B43" w:rsidTr="00D64398">
        <w:trPr>
          <w:jc w:val="center"/>
        </w:trPr>
        <w:tc>
          <w:tcPr>
            <w:tcW w:w="489" w:type="pct"/>
          </w:tcPr>
          <w:p w:rsidR="008B199E" w:rsidRPr="00F53B43" w:rsidRDefault="008B199E" w:rsidP="00D64398">
            <w:pPr>
              <w:spacing w:before="120" w:after="120"/>
              <w:ind w:firstLine="5"/>
              <w:rPr>
                <w:color w:val="000000"/>
                <w:sz w:val="20"/>
                <w:szCs w:val="20"/>
                <w:lang w:val="ru-RU"/>
              </w:rPr>
            </w:pPr>
            <w:r w:rsidRPr="00F53B43">
              <w:rPr>
                <w:color w:val="000000"/>
                <w:sz w:val="20"/>
                <w:szCs w:val="20"/>
                <w:lang w:val="ru-RU"/>
              </w:rPr>
              <w:t>Одредба прописа ЕУ (члан, став, подстав, т</w:t>
            </w:r>
            <w:r w:rsidRPr="00F53B43">
              <w:rPr>
                <w:color w:val="000000"/>
                <w:sz w:val="20"/>
                <w:szCs w:val="20"/>
                <w:lang w:val="sr-Cyrl-CS"/>
              </w:rPr>
              <w:t>а</w:t>
            </w:r>
            <w:r w:rsidRPr="00F53B43">
              <w:rPr>
                <w:color w:val="000000"/>
                <w:sz w:val="20"/>
                <w:szCs w:val="20"/>
                <w:lang w:val="ru-RU"/>
              </w:rPr>
              <w:t>чка, анекс)</w:t>
            </w:r>
          </w:p>
        </w:tc>
        <w:tc>
          <w:tcPr>
            <w:tcW w:w="768" w:type="pct"/>
          </w:tcPr>
          <w:p w:rsidR="008B199E" w:rsidRPr="00F53B43" w:rsidRDefault="008B199E" w:rsidP="00D64398">
            <w:pPr>
              <w:spacing w:before="120" w:after="120"/>
              <w:ind w:firstLine="5"/>
              <w:rPr>
                <w:color w:val="000000"/>
                <w:sz w:val="20"/>
                <w:szCs w:val="20"/>
                <w:lang w:val="ru-RU"/>
              </w:rPr>
            </w:pPr>
            <w:r w:rsidRPr="00F53B43">
              <w:rPr>
                <w:color w:val="000000"/>
                <w:sz w:val="20"/>
                <w:szCs w:val="20"/>
                <w:lang w:val="sr-Cyrl-CS"/>
              </w:rPr>
              <w:t xml:space="preserve">Садржина </w:t>
            </w:r>
            <w:r w:rsidRPr="00F53B43">
              <w:rPr>
                <w:color w:val="000000"/>
                <w:sz w:val="20"/>
                <w:szCs w:val="20"/>
                <w:lang w:val="hr-HR"/>
              </w:rPr>
              <w:t>одредбе</w:t>
            </w:r>
          </w:p>
        </w:tc>
        <w:tc>
          <w:tcPr>
            <w:tcW w:w="460" w:type="pct"/>
          </w:tcPr>
          <w:p w:rsidR="008B199E" w:rsidRPr="00F53B43" w:rsidRDefault="008B199E" w:rsidP="00D64398">
            <w:pPr>
              <w:spacing w:before="120" w:after="120"/>
              <w:ind w:firstLine="5"/>
              <w:rPr>
                <w:color w:val="000000"/>
                <w:sz w:val="20"/>
                <w:szCs w:val="20"/>
                <w:lang w:val="ru-RU"/>
              </w:rPr>
            </w:pPr>
            <w:r w:rsidRPr="00F53B43">
              <w:rPr>
                <w:color w:val="000000"/>
                <w:sz w:val="20"/>
                <w:szCs w:val="20"/>
                <w:lang w:val="ru-RU"/>
              </w:rPr>
              <w:t>Одредбе прописа</w:t>
            </w:r>
          </w:p>
          <w:p w:rsidR="008B199E" w:rsidRPr="00F53B43" w:rsidRDefault="008B199E" w:rsidP="00D64398">
            <w:pPr>
              <w:spacing w:before="120" w:after="120"/>
              <w:ind w:firstLine="5"/>
              <w:rPr>
                <w:color w:val="000000"/>
                <w:sz w:val="20"/>
                <w:szCs w:val="20"/>
              </w:rPr>
            </w:pPr>
            <w:r w:rsidRPr="00F53B43">
              <w:rPr>
                <w:color w:val="000000"/>
                <w:sz w:val="20"/>
                <w:szCs w:val="20"/>
                <w:lang w:val="ru-RU"/>
              </w:rPr>
              <w:t>(члан, став, т</w:t>
            </w:r>
            <w:r w:rsidRPr="00F53B43">
              <w:rPr>
                <w:color w:val="000000"/>
                <w:sz w:val="20"/>
                <w:szCs w:val="20"/>
                <w:lang w:val="sr-Cyrl-CS"/>
              </w:rPr>
              <w:t>а</w:t>
            </w:r>
            <w:r w:rsidRPr="00F53B43">
              <w:rPr>
                <w:color w:val="000000"/>
                <w:sz w:val="20"/>
                <w:szCs w:val="20"/>
                <w:lang w:val="ru-RU"/>
              </w:rPr>
              <w:t>чка)</w:t>
            </w:r>
          </w:p>
        </w:tc>
        <w:tc>
          <w:tcPr>
            <w:tcW w:w="817" w:type="pct"/>
          </w:tcPr>
          <w:p w:rsidR="008B199E" w:rsidRPr="00F53B43" w:rsidRDefault="008B199E" w:rsidP="00D64398">
            <w:pPr>
              <w:spacing w:before="120" w:after="120"/>
              <w:rPr>
                <w:color w:val="000000"/>
                <w:sz w:val="20"/>
                <w:szCs w:val="20"/>
                <w:lang w:val="ru-RU"/>
              </w:rPr>
            </w:pPr>
            <w:r w:rsidRPr="00F53B43">
              <w:rPr>
                <w:color w:val="000000"/>
                <w:sz w:val="20"/>
                <w:szCs w:val="20"/>
                <w:lang w:val="sr-Cyrl-CS"/>
              </w:rPr>
              <w:t xml:space="preserve">Садржина </w:t>
            </w:r>
            <w:r w:rsidRPr="00F53B43">
              <w:rPr>
                <w:color w:val="000000"/>
                <w:sz w:val="20"/>
                <w:szCs w:val="20"/>
                <w:lang w:val="hr-HR"/>
              </w:rPr>
              <w:t>одредбе</w:t>
            </w:r>
          </w:p>
        </w:tc>
        <w:tc>
          <w:tcPr>
            <w:tcW w:w="787" w:type="pct"/>
          </w:tcPr>
          <w:p w:rsidR="008B199E" w:rsidRPr="00F53B43" w:rsidRDefault="008B199E" w:rsidP="00D64398">
            <w:pPr>
              <w:spacing w:before="120" w:after="120"/>
              <w:rPr>
                <w:color w:val="000000"/>
                <w:sz w:val="20"/>
                <w:szCs w:val="20"/>
                <w:lang w:val="ru-RU"/>
              </w:rPr>
            </w:pPr>
            <w:r w:rsidRPr="00F53B43">
              <w:rPr>
                <w:color w:val="000000"/>
                <w:sz w:val="20"/>
                <w:szCs w:val="20"/>
                <w:lang w:val="ru-RU"/>
              </w:rPr>
              <w:t>Усклађеност одредбе</w:t>
            </w:r>
            <w:r w:rsidRPr="00F53B43">
              <w:rPr>
                <w:color w:val="000000"/>
                <w:sz w:val="20"/>
                <w:szCs w:val="20"/>
                <w:lang w:val="sr-Cyrl-CS"/>
              </w:rPr>
              <w:t xml:space="preserve"> </w:t>
            </w:r>
            <w:r w:rsidRPr="00F53B43">
              <w:rPr>
                <w:color w:val="000000"/>
                <w:sz w:val="20"/>
                <w:szCs w:val="20"/>
                <w:lang w:val="ru-RU"/>
              </w:rPr>
              <w:t>прописа са одредбом прописа ЕУ (потпуно усклађено, дел</w:t>
            </w:r>
            <w:r w:rsidRPr="00F53B43">
              <w:rPr>
                <w:color w:val="000000"/>
                <w:sz w:val="20"/>
                <w:szCs w:val="20"/>
                <w:lang w:val="sr-Cyrl-CS"/>
              </w:rPr>
              <w:t>имично</w:t>
            </w:r>
            <w:r w:rsidRPr="00F53B43">
              <w:rPr>
                <w:color w:val="000000"/>
                <w:sz w:val="20"/>
                <w:szCs w:val="20"/>
                <w:lang w:val="ru-RU"/>
              </w:rPr>
              <w:t xml:space="preserve"> усклађено, неусклађено, непреносиво)</w:t>
            </w:r>
          </w:p>
        </w:tc>
        <w:tc>
          <w:tcPr>
            <w:tcW w:w="591" w:type="pct"/>
            <w:gridSpan w:val="2"/>
          </w:tcPr>
          <w:p w:rsidR="008B199E" w:rsidRPr="00F53B43" w:rsidRDefault="008B199E" w:rsidP="00D64398">
            <w:pPr>
              <w:spacing w:before="120" w:after="120"/>
              <w:ind w:firstLine="21"/>
              <w:rPr>
                <w:color w:val="000000"/>
                <w:sz w:val="20"/>
                <w:szCs w:val="20"/>
                <w:lang w:val="ru-RU"/>
              </w:rPr>
            </w:pPr>
            <w:r w:rsidRPr="00F53B43">
              <w:rPr>
                <w:color w:val="000000"/>
                <w:sz w:val="20"/>
                <w:szCs w:val="20"/>
                <w:lang w:val="ru-RU"/>
              </w:rPr>
              <w:t>Разлози за д</w:t>
            </w:r>
            <w:r w:rsidRPr="00F53B43">
              <w:rPr>
                <w:color w:val="000000"/>
                <w:sz w:val="20"/>
                <w:szCs w:val="20"/>
                <w:lang w:val="sr-Cyrl-CS"/>
              </w:rPr>
              <w:t xml:space="preserve">елимичну </w:t>
            </w:r>
            <w:r w:rsidRPr="00F53B43">
              <w:rPr>
                <w:color w:val="000000"/>
                <w:sz w:val="20"/>
                <w:szCs w:val="20"/>
                <w:lang w:val="ru-RU"/>
              </w:rPr>
              <w:t>усклађеност, неусклађеност или непреносивост</w:t>
            </w:r>
          </w:p>
        </w:tc>
        <w:tc>
          <w:tcPr>
            <w:tcW w:w="579" w:type="pct"/>
          </w:tcPr>
          <w:p w:rsidR="008B199E" w:rsidRPr="00F53B43" w:rsidRDefault="008B199E" w:rsidP="00D64398">
            <w:pPr>
              <w:spacing w:before="120" w:after="120"/>
              <w:rPr>
                <w:color w:val="000000"/>
                <w:sz w:val="20"/>
                <w:szCs w:val="20"/>
                <w:lang w:val="ru-RU"/>
              </w:rPr>
            </w:pPr>
            <w:r w:rsidRPr="00F53B43">
              <w:rPr>
                <w:color w:val="000000"/>
                <w:sz w:val="20"/>
                <w:szCs w:val="20"/>
                <w:lang w:val="ru-RU"/>
              </w:rPr>
              <w:t>Предвиђени датум за постизање потпуне усклађености</w:t>
            </w:r>
          </w:p>
        </w:tc>
        <w:tc>
          <w:tcPr>
            <w:tcW w:w="509" w:type="pct"/>
          </w:tcPr>
          <w:p w:rsidR="008B199E" w:rsidRPr="00F53B43" w:rsidRDefault="008B199E" w:rsidP="00D64398">
            <w:pPr>
              <w:spacing w:before="120" w:after="120"/>
              <w:rPr>
                <w:color w:val="000000"/>
                <w:sz w:val="20"/>
                <w:szCs w:val="20"/>
                <w:lang w:val="ru-RU"/>
              </w:rPr>
            </w:pPr>
            <w:r w:rsidRPr="00F53B43">
              <w:rPr>
                <w:color w:val="000000"/>
                <w:sz w:val="20"/>
                <w:szCs w:val="20"/>
                <w:lang w:val="sr-Cyrl-CS"/>
              </w:rPr>
              <w:t>Напомена о усклађености прописа са прописима ЕУ</w:t>
            </w:r>
          </w:p>
        </w:tc>
      </w:tr>
      <w:tr w:rsidR="00BD66C4" w:rsidRPr="00F53B43" w:rsidTr="00D64398">
        <w:trPr>
          <w:cantSplit/>
          <w:jc w:val="center"/>
        </w:trPr>
        <w:tc>
          <w:tcPr>
            <w:tcW w:w="489" w:type="pct"/>
            <w:shd w:val="clear" w:color="auto" w:fill="FFFFFF"/>
          </w:tcPr>
          <w:p w:rsidR="00BD66C4" w:rsidRPr="00F53B43" w:rsidRDefault="00BD66C4" w:rsidP="00BD66C4">
            <w:pPr>
              <w:spacing w:before="120" w:after="120"/>
              <w:ind w:firstLine="5"/>
              <w:rPr>
                <w:color w:val="000000"/>
                <w:sz w:val="20"/>
                <w:szCs w:val="20"/>
                <w:lang w:val="sr-Cyrl-CS"/>
              </w:rPr>
            </w:pPr>
            <w:r w:rsidRPr="00F53B43">
              <w:rPr>
                <w:color w:val="000000"/>
                <w:sz w:val="20"/>
                <w:szCs w:val="20"/>
              </w:rPr>
              <w:lastRenderedPageBreak/>
              <w:t>1</w:t>
            </w:r>
            <w:r w:rsidRPr="00F53B43">
              <w:rPr>
                <w:color w:val="000000"/>
                <w:sz w:val="20"/>
                <w:szCs w:val="20"/>
                <w:lang w:val="sr-Cyrl-CS"/>
              </w:rPr>
              <w:t>.</w:t>
            </w:r>
          </w:p>
          <w:p w:rsidR="00BD66C4" w:rsidRPr="00F53B43" w:rsidRDefault="00BD66C4" w:rsidP="00BD66C4">
            <w:pPr>
              <w:spacing w:before="120" w:after="120"/>
              <w:ind w:firstLine="5"/>
              <w:rPr>
                <w:color w:val="000000"/>
                <w:sz w:val="20"/>
                <w:szCs w:val="20"/>
              </w:rPr>
            </w:pPr>
          </w:p>
        </w:tc>
        <w:tc>
          <w:tcPr>
            <w:tcW w:w="768" w:type="pct"/>
            <w:shd w:val="clear" w:color="auto" w:fill="FFFFFF"/>
          </w:tcPr>
          <w:p w:rsidR="00BD66C4" w:rsidRPr="00F53B43" w:rsidRDefault="00BD66C4" w:rsidP="00BD66C4">
            <w:pPr>
              <w:ind w:firstLine="5"/>
              <w:rPr>
                <w:color w:val="000000"/>
                <w:sz w:val="20"/>
                <w:szCs w:val="20"/>
                <w:lang w:val="sr-Cyrl-CS"/>
              </w:rPr>
            </w:pPr>
            <w:r w:rsidRPr="00F53B43">
              <w:rPr>
                <w:color w:val="000000"/>
                <w:sz w:val="20"/>
                <w:szCs w:val="20"/>
              </w:rPr>
              <w:t>Subject matter and scope</w:t>
            </w:r>
            <w:r w:rsidRPr="00F53B43">
              <w:rPr>
                <w:color w:val="000000"/>
                <w:sz w:val="20"/>
                <w:szCs w:val="20"/>
                <w:lang w:val="sr-Cyrl-CS"/>
              </w:rPr>
              <w:t xml:space="preserve"> </w:t>
            </w:r>
          </w:p>
        </w:tc>
        <w:tc>
          <w:tcPr>
            <w:tcW w:w="460" w:type="pct"/>
            <w:shd w:val="clear" w:color="auto" w:fill="FFFFFF"/>
          </w:tcPr>
          <w:p w:rsidR="00BD66C4" w:rsidRPr="00F53B43" w:rsidRDefault="00BD66C4" w:rsidP="00BD66C4">
            <w:pPr>
              <w:spacing w:before="120" w:after="120"/>
              <w:ind w:firstLine="5"/>
              <w:rPr>
                <w:color w:val="000000"/>
                <w:sz w:val="20"/>
                <w:szCs w:val="20"/>
              </w:rPr>
            </w:pPr>
            <w:r w:rsidRPr="00F53B43">
              <w:rPr>
                <w:color w:val="000000"/>
                <w:sz w:val="20"/>
                <w:szCs w:val="20"/>
              </w:rPr>
              <w:t>1.</w:t>
            </w:r>
          </w:p>
        </w:tc>
        <w:tc>
          <w:tcPr>
            <w:tcW w:w="817" w:type="pct"/>
            <w:shd w:val="clear" w:color="auto" w:fill="FFFFFF"/>
          </w:tcPr>
          <w:p w:rsidR="00BD66C4" w:rsidRPr="00F53B43" w:rsidRDefault="00BD66C4" w:rsidP="00744A6D">
            <w:pPr>
              <w:tabs>
                <w:tab w:val="left" w:pos="0"/>
              </w:tabs>
              <w:rPr>
                <w:sz w:val="20"/>
                <w:szCs w:val="20"/>
                <w:lang w:val="sr-Cyrl-CS"/>
              </w:rPr>
            </w:pPr>
            <w:r w:rsidRPr="00F53B43">
              <w:rPr>
                <w:sz w:val="20"/>
                <w:szCs w:val="20"/>
                <w:lang w:val="sr-Cyrl-CS"/>
              </w:rPr>
              <w:t xml:space="preserve">Овом одредбом је </w:t>
            </w:r>
            <w:proofErr w:type="spellStart"/>
            <w:r w:rsidR="00744A6D" w:rsidRPr="00F53B43">
              <w:rPr>
                <w:sz w:val="20"/>
                <w:szCs w:val="20"/>
              </w:rPr>
              <w:t>прописано</w:t>
            </w:r>
            <w:proofErr w:type="spellEnd"/>
            <w:r w:rsidR="00744A6D" w:rsidRPr="00F53B43">
              <w:rPr>
                <w:sz w:val="20"/>
                <w:szCs w:val="20"/>
              </w:rPr>
              <w:t xml:space="preserve"> </w:t>
            </w:r>
            <w:proofErr w:type="spellStart"/>
            <w:r w:rsidR="00744A6D" w:rsidRPr="00F53B43">
              <w:rPr>
                <w:sz w:val="20"/>
                <w:szCs w:val="20"/>
              </w:rPr>
              <w:t>да</w:t>
            </w:r>
            <w:proofErr w:type="spellEnd"/>
            <w:r w:rsidR="00744A6D" w:rsidRPr="00F53B43">
              <w:rPr>
                <w:sz w:val="20"/>
                <w:szCs w:val="20"/>
              </w:rPr>
              <w:t xml:space="preserve"> </w:t>
            </w:r>
            <w:proofErr w:type="spellStart"/>
            <w:r w:rsidR="00744A6D" w:rsidRPr="00F53B43">
              <w:rPr>
                <w:sz w:val="20"/>
                <w:szCs w:val="20"/>
              </w:rPr>
              <w:t>се</w:t>
            </w:r>
            <w:proofErr w:type="spellEnd"/>
            <w:r w:rsidR="00744A6D" w:rsidRPr="00F53B43">
              <w:rPr>
                <w:sz w:val="20"/>
                <w:szCs w:val="20"/>
              </w:rPr>
              <w:t xml:space="preserve"> </w:t>
            </w:r>
            <w:proofErr w:type="spellStart"/>
            <w:r w:rsidR="00744A6D" w:rsidRPr="00F53B43">
              <w:rPr>
                <w:sz w:val="20"/>
                <w:szCs w:val="20"/>
              </w:rPr>
              <w:t>овим</w:t>
            </w:r>
            <w:proofErr w:type="spellEnd"/>
            <w:r w:rsidR="00744A6D" w:rsidRPr="00F53B43">
              <w:rPr>
                <w:sz w:val="20"/>
                <w:szCs w:val="20"/>
              </w:rPr>
              <w:t xml:space="preserve"> </w:t>
            </w:r>
            <w:proofErr w:type="spellStart"/>
            <w:r w:rsidR="00744A6D" w:rsidRPr="00F53B43">
              <w:rPr>
                <w:sz w:val="20"/>
                <w:szCs w:val="20"/>
              </w:rPr>
              <w:t>законом</w:t>
            </w:r>
            <w:proofErr w:type="spellEnd"/>
            <w:r w:rsidR="00744A6D" w:rsidRPr="00F53B43">
              <w:rPr>
                <w:sz w:val="20"/>
                <w:szCs w:val="20"/>
              </w:rPr>
              <w:t xml:space="preserve"> </w:t>
            </w:r>
            <w:proofErr w:type="spellStart"/>
            <w:r w:rsidR="00744A6D" w:rsidRPr="00F53B43">
              <w:rPr>
                <w:sz w:val="20"/>
                <w:szCs w:val="20"/>
              </w:rPr>
              <w:t>уређују</w:t>
            </w:r>
            <w:proofErr w:type="spellEnd"/>
            <w:r w:rsidR="00744A6D" w:rsidRPr="00F53B43">
              <w:rPr>
                <w:sz w:val="20"/>
                <w:szCs w:val="20"/>
              </w:rPr>
              <w:t xml:space="preserve"> </w:t>
            </w:r>
            <w:proofErr w:type="spellStart"/>
            <w:r w:rsidR="00744A6D" w:rsidRPr="00F53B43">
              <w:rPr>
                <w:sz w:val="20"/>
                <w:szCs w:val="20"/>
              </w:rPr>
              <w:t>рокови</w:t>
            </w:r>
            <w:proofErr w:type="spellEnd"/>
            <w:r w:rsidR="00744A6D" w:rsidRPr="00F53B43">
              <w:rPr>
                <w:sz w:val="20"/>
                <w:szCs w:val="20"/>
              </w:rPr>
              <w:t xml:space="preserve"> </w:t>
            </w:r>
            <w:proofErr w:type="spellStart"/>
            <w:r w:rsidR="00744A6D" w:rsidRPr="00F53B43">
              <w:rPr>
                <w:sz w:val="20"/>
                <w:szCs w:val="20"/>
              </w:rPr>
              <w:t>измирења</w:t>
            </w:r>
            <w:proofErr w:type="spellEnd"/>
            <w:r w:rsidR="00744A6D" w:rsidRPr="00F53B43">
              <w:rPr>
                <w:sz w:val="20"/>
                <w:szCs w:val="20"/>
              </w:rPr>
              <w:t xml:space="preserve"> </w:t>
            </w:r>
            <w:proofErr w:type="spellStart"/>
            <w:r w:rsidR="00744A6D" w:rsidRPr="00F53B43">
              <w:rPr>
                <w:sz w:val="20"/>
                <w:szCs w:val="20"/>
              </w:rPr>
              <w:t>новчаних</w:t>
            </w:r>
            <w:proofErr w:type="spellEnd"/>
            <w:r w:rsidR="00744A6D" w:rsidRPr="00F53B43">
              <w:rPr>
                <w:sz w:val="20"/>
                <w:szCs w:val="20"/>
              </w:rPr>
              <w:t xml:space="preserve"> </w:t>
            </w:r>
            <w:proofErr w:type="spellStart"/>
            <w:r w:rsidR="00744A6D" w:rsidRPr="00F53B43">
              <w:rPr>
                <w:sz w:val="20"/>
                <w:szCs w:val="20"/>
              </w:rPr>
              <w:t>обавеза</w:t>
            </w:r>
            <w:proofErr w:type="spellEnd"/>
            <w:r w:rsidR="00744A6D" w:rsidRPr="00F53B43">
              <w:rPr>
                <w:sz w:val="20"/>
                <w:szCs w:val="20"/>
              </w:rPr>
              <w:t xml:space="preserve"> у </w:t>
            </w:r>
            <w:proofErr w:type="spellStart"/>
            <w:r w:rsidR="00744A6D" w:rsidRPr="00F53B43">
              <w:rPr>
                <w:sz w:val="20"/>
                <w:szCs w:val="20"/>
              </w:rPr>
              <w:t>комерцијалним</w:t>
            </w:r>
            <w:proofErr w:type="spellEnd"/>
            <w:r w:rsidR="00744A6D" w:rsidRPr="00F53B43">
              <w:rPr>
                <w:sz w:val="20"/>
                <w:szCs w:val="20"/>
              </w:rPr>
              <w:t xml:space="preserve"> </w:t>
            </w:r>
            <w:proofErr w:type="spellStart"/>
            <w:r w:rsidR="00744A6D" w:rsidRPr="00F53B43">
              <w:rPr>
                <w:sz w:val="20"/>
                <w:szCs w:val="20"/>
              </w:rPr>
              <w:t>трансакцијама</w:t>
            </w:r>
            <w:proofErr w:type="spellEnd"/>
            <w:r w:rsidR="00744A6D" w:rsidRPr="00F53B43">
              <w:rPr>
                <w:sz w:val="20"/>
                <w:szCs w:val="20"/>
              </w:rPr>
              <w:t xml:space="preserve"> </w:t>
            </w:r>
            <w:proofErr w:type="spellStart"/>
            <w:r w:rsidR="00744A6D" w:rsidRPr="00F53B43">
              <w:rPr>
                <w:sz w:val="20"/>
                <w:szCs w:val="20"/>
              </w:rPr>
              <w:t>између</w:t>
            </w:r>
            <w:proofErr w:type="spellEnd"/>
            <w:r w:rsidR="00744A6D" w:rsidRPr="00F53B43">
              <w:rPr>
                <w:sz w:val="20"/>
                <w:szCs w:val="20"/>
              </w:rPr>
              <w:t xml:space="preserve"> </w:t>
            </w:r>
            <w:proofErr w:type="spellStart"/>
            <w:r w:rsidR="00744A6D" w:rsidRPr="00F53B43">
              <w:rPr>
                <w:sz w:val="20"/>
                <w:szCs w:val="20"/>
              </w:rPr>
              <w:t>јавног</w:t>
            </w:r>
            <w:proofErr w:type="spellEnd"/>
            <w:r w:rsidR="00744A6D" w:rsidRPr="00F53B43">
              <w:rPr>
                <w:sz w:val="20"/>
                <w:szCs w:val="20"/>
              </w:rPr>
              <w:t xml:space="preserve"> </w:t>
            </w:r>
            <w:proofErr w:type="spellStart"/>
            <w:r w:rsidR="00744A6D" w:rsidRPr="00F53B43">
              <w:rPr>
                <w:sz w:val="20"/>
                <w:szCs w:val="20"/>
              </w:rPr>
              <w:t>сектора</w:t>
            </w:r>
            <w:proofErr w:type="spellEnd"/>
            <w:r w:rsidR="00744A6D" w:rsidRPr="00F53B43">
              <w:rPr>
                <w:sz w:val="20"/>
                <w:szCs w:val="20"/>
              </w:rPr>
              <w:t xml:space="preserve"> и </w:t>
            </w:r>
            <w:proofErr w:type="spellStart"/>
            <w:r w:rsidR="00744A6D" w:rsidRPr="00F53B43">
              <w:rPr>
                <w:sz w:val="20"/>
                <w:szCs w:val="20"/>
              </w:rPr>
              <w:t>привредних</w:t>
            </w:r>
            <w:proofErr w:type="spellEnd"/>
            <w:r w:rsidR="00744A6D" w:rsidRPr="00F53B43">
              <w:rPr>
                <w:sz w:val="20"/>
                <w:szCs w:val="20"/>
              </w:rPr>
              <w:t xml:space="preserve"> </w:t>
            </w:r>
            <w:proofErr w:type="spellStart"/>
            <w:r w:rsidR="00744A6D" w:rsidRPr="00F53B43">
              <w:rPr>
                <w:sz w:val="20"/>
                <w:szCs w:val="20"/>
              </w:rPr>
              <w:t>субјеката</w:t>
            </w:r>
            <w:proofErr w:type="spellEnd"/>
            <w:r w:rsidR="00744A6D" w:rsidRPr="00F53B43">
              <w:rPr>
                <w:sz w:val="20"/>
                <w:szCs w:val="20"/>
              </w:rPr>
              <w:t xml:space="preserve">, </w:t>
            </w:r>
            <w:proofErr w:type="spellStart"/>
            <w:r w:rsidR="00744A6D" w:rsidRPr="00F53B43">
              <w:rPr>
                <w:sz w:val="20"/>
                <w:szCs w:val="20"/>
              </w:rPr>
              <w:t>између</w:t>
            </w:r>
            <w:proofErr w:type="spellEnd"/>
            <w:r w:rsidR="00744A6D" w:rsidRPr="00F53B43">
              <w:rPr>
                <w:sz w:val="20"/>
                <w:szCs w:val="20"/>
              </w:rPr>
              <w:t xml:space="preserve"> </w:t>
            </w:r>
            <w:proofErr w:type="spellStart"/>
            <w:r w:rsidR="00744A6D" w:rsidRPr="00F53B43">
              <w:rPr>
                <w:sz w:val="20"/>
                <w:szCs w:val="20"/>
              </w:rPr>
              <w:t>привредних</w:t>
            </w:r>
            <w:proofErr w:type="spellEnd"/>
            <w:r w:rsidR="00744A6D" w:rsidRPr="00F53B43">
              <w:rPr>
                <w:sz w:val="20"/>
                <w:szCs w:val="20"/>
              </w:rPr>
              <w:t xml:space="preserve"> </w:t>
            </w:r>
            <w:proofErr w:type="spellStart"/>
            <w:r w:rsidR="00744A6D" w:rsidRPr="00F53B43">
              <w:rPr>
                <w:sz w:val="20"/>
                <w:szCs w:val="20"/>
              </w:rPr>
              <w:t>субјеката</w:t>
            </w:r>
            <w:proofErr w:type="spellEnd"/>
            <w:r w:rsidR="00744A6D" w:rsidRPr="00F53B43">
              <w:rPr>
                <w:sz w:val="20"/>
                <w:szCs w:val="20"/>
              </w:rPr>
              <w:t xml:space="preserve">, </w:t>
            </w:r>
            <w:proofErr w:type="spellStart"/>
            <w:r w:rsidR="00744A6D" w:rsidRPr="00F53B43">
              <w:rPr>
                <w:sz w:val="20"/>
                <w:szCs w:val="20"/>
              </w:rPr>
              <w:t>односно</w:t>
            </w:r>
            <w:proofErr w:type="spellEnd"/>
            <w:r w:rsidR="00744A6D" w:rsidRPr="00F53B43">
              <w:rPr>
                <w:sz w:val="20"/>
                <w:szCs w:val="20"/>
              </w:rPr>
              <w:t xml:space="preserve"> </w:t>
            </w:r>
            <w:proofErr w:type="spellStart"/>
            <w:r w:rsidR="00744A6D" w:rsidRPr="00F53B43">
              <w:rPr>
                <w:sz w:val="20"/>
                <w:szCs w:val="20"/>
              </w:rPr>
              <w:t>између</w:t>
            </w:r>
            <w:proofErr w:type="spellEnd"/>
            <w:r w:rsidR="00744A6D" w:rsidRPr="00F53B43">
              <w:rPr>
                <w:sz w:val="20"/>
                <w:szCs w:val="20"/>
              </w:rPr>
              <w:t xml:space="preserve"> </w:t>
            </w:r>
            <w:proofErr w:type="spellStart"/>
            <w:r w:rsidR="00744A6D" w:rsidRPr="00F53B43">
              <w:rPr>
                <w:sz w:val="20"/>
                <w:szCs w:val="20"/>
              </w:rPr>
              <w:t>субјеката</w:t>
            </w:r>
            <w:proofErr w:type="spellEnd"/>
            <w:r w:rsidR="00744A6D" w:rsidRPr="00F53B43">
              <w:rPr>
                <w:sz w:val="20"/>
                <w:szCs w:val="20"/>
              </w:rPr>
              <w:t xml:space="preserve"> </w:t>
            </w:r>
            <w:proofErr w:type="spellStart"/>
            <w:r w:rsidR="00744A6D" w:rsidRPr="00F53B43">
              <w:rPr>
                <w:sz w:val="20"/>
                <w:szCs w:val="20"/>
              </w:rPr>
              <w:t>јавног</w:t>
            </w:r>
            <w:proofErr w:type="spellEnd"/>
            <w:r w:rsidR="00744A6D" w:rsidRPr="00F53B43">
              <w:rPr>
                <w:sz w:val="20"/>
                <w:szCs w:val="20"/>
              </w:rPr>
              <w:t xml:space="preserve"> </w:t>
            </w:r>
            <w:proofErr w:type="spellStart"/>
            <w:r w:rsidR="00744A6D" w:rsidRPr="00F53B43">
              <w:rPr>
                <w:sz w:val="20"/>
                <w:szCs w:val="20"/>
              </w:rPr>
              <w:t>сектора</w:t>
            </w:r>
            <w:proofErr w:type="spellEnd"/>
            <w:r w:rsidR="00744A6D" w:rsidRPr="00F53B43">
              <w:rPr>
                <w:sz w:val="20"/>
                <w:szCs w:val="20"/>
              </w:rPr>
              <w:t xml:space="preserve">, а у </w:t>
            </w:r>
            <w:proofErr w:type="spellStart"/>
            <w:r w:rsidR="00744A6D" w:rsidRPr="00F53B43">
              <w:rPr>
                <w:sz w:val="20"/>
                <w:szCs w:val="20"/>
              </w:rPr>
              <w:t>циљу</w:t>
            </w:r>
            <w:proofErr w:type="spellEnd"/>
            <w:r w:rsidR="00744A6D" w:rsidRPr="00F53B43">
              <w:rPr>
                <w:sz w:val="20"/>
                <w:szCs w:val="20"/>
              </w:rPr>
              <w:t xml:space="preserve"> </w:t>
            </w:r>
            <w:proofErr w:type="spellStart"/>
            <w:r w:rsidR="00744A6D" w:rsidRPr="00F53B43">
              <w:rPr>
                <w:sz w:val="20"/>
                <w:szCs w:val="20"/>
              </w:rPr>
              <w:t>спречавања</w:t>
            </w:r>
            <w:proofErr w:type="spellEnd"/>
            <w:r w:rsidR="00744A6D" w:rsidRPr="00F53B43">
              <w:rPr>
                <w:sz w:val="20"/>
                <w:szCs w:val="20"/>
              </w:rPr>
              <w:t xml:space="preserve"> </w:t>
            </w:r>
            <w:proofErr w:type="spellStart"/>
            <w:r w:rsidR="00744A6D" w:rsidRPr="00F53B43">
              <w:rPr>
                <w:sz w:val="20"/>
                <w:szCs w:val="20"/>
              </w:rPr>
              <w:t>неизмирења</w:t>
            </w:r>
            <w:proofErr w:type="spellEnd"/>
            <w:r w:rsidR="00744A6D" w:rsidRPr="00F53B43">
              <w:rPr>
                <w:sz w:val="20"/>
                <w:szCs w:val="20"/>
              </w:rPr>
              <w:t xml:space="preserve"> </w:t>
            </w:r>
            <w:proofErr w:type="spellStart"/>
            <w:r w:rsidR="00744A6D" w:rsidRPr="00F53B43">
              <w:rPr>
                <w:sz w:val="20"/>
                <w:szCs w:val="20"/>
              </w:rPr>
              <w:t>новчаних</w:t>
            </w:r>
            <w:proofErr w:type="spellEnd"/>
            <w:r w:rsidR="00744A6D" w:rsidRPr="00F53B43">
              <w:rPr>
                <w:sz w:val="20"/>
                <w:szCs w:val="20"/>
              </w:rPr>
              <w:t xml:space="preserve"> </w:t>
            </w:r>
            <w:proofErr w:type="spellStart"/>
            <w:r w:rsidR="00744A6D" w:rsidRPr="00F53B43">
              <w:rPr>
                <w:sz w:val="20"/>
                <w:szCs w:val="20"/>
              </w:rPr>
              <w:t>обавеза</w:t>
            </w:r>
            <w:proofErr w:type="spellEnd"/>
            <w:r w:rsidR="00744A6D" w:rsidRPr="00F53B43">
              <w:rPr>
                <w:sz w:val="20"/>
                <w:szCs w:val="20"/>
              </w:rPr>
              <w:t xml:space="preserve"> у </w:t>
            </w:r>
            <w:proofErr w:type="spellStart"/>
            <w:r w:rsidR="00744A6D" w:rsidRPr="00F53B43">
              <w:rPr>
                <w:sz w:val="20"/>
                <w:szCs w:val="20"/>
              </w:rPr>
              <w:t>року</w:t>
            </w:r>
            <w:proofErr w:type="spellEnd"/>
            <w:r w:rsidRPr="00F53B43">
              <w:rPr>
                <w:rFonts w:ascii="Times New Roman CYR" w:hAnsi="Times New Roman CYR" w:cs="Times New Roman CYR"/>
                <w:sz w:val="20"/>
                <w:szCs w:val="20"/>
              </w:rPr>
              <w:t>.</w:t>
            </w:r>
          </w:p>
        </w:tc>
        <w:tc>
          <w:tcPr>
            <w:tcW w:w="787" w:type="pct"/>
            <w:shd w:val="clear" w:color="auto" w:fill="FFFFFF"/>
          </w:tcPr>
          <w:p w:rsidR="00BD66C4" w:rsidRPr="00F53B43" w:rsidRDefault="00BD66C4" w:rsidP="00BD66C4">
            <w:pPr>
              <w:rPr>
                <w:sz w:val="20"/>
                <w:szCs w:val="20"/>
                <w:lang w:val="sr-Cyrl-CS"/>
              </w:rPr>
            </w:pPr>
            <w:r w:rsidRPr="00F53B43">
              <w:rPr>
                <w:sz w:val="20"/>
                <w:szCs w:val="20"/>
                <w:lang w:val="sr-Cyrl-CS"/>
              </w:rPr>
              <w:t>Потпуно усклађено</w:t>
            </w:r>
          </w:p>
        </w:tc>
        <w:tc>
          <w:tcPr>
            <w:tcW w:w="591" w:type="pct"/>
            <w:gridSpan w:val="2"/>
            <w:shd w:val="clear" w:color="auto" w:fill="FFFFFF"/>
          </w:tcPr>
          <w:p w:rsidR="00BD66C4" w:rsidRPr="00F53B43" w:rsidRDefault="00BD66C4" w:rsidP="00BD66C4">
            <w:pPr>
              <w:spacing w:before="120" w:after="120"/>
              <w:rPr>
                <w:color w:val="000000"/>
                <w:sz w:val="20"/>
                <w:szCs w:val="20"/>
              </w:rPr>
            </w:pPr>
          </w:p>
        </w:tc>
        <w:tc>
          <w:tcPr>
            <w:tcW w:w="579" w:type="pct"/>
            <w:shd w:val="clear" w:color="auto" w:fill="FFFFFF"/>
          </w:tcPr>
          <w:p w:rsidR="00BD66C4" w:rsidRPr="00F53B43" w:rsidRDefault="00BD66C4" w:rsidP="00BD66C4">
            <w:pPr>
              <w:rPr>
                <w:color w:val="000000"/>
                <w:sz w:val="20"/>
                <w:szCs w:val="20"/>
              </w:rPr>
            </w:pPr>
          </w:p>
        </w:tc>
        <w:tc>
          <w:tcPr>
            <w:tcW w:w="509" w:type="pct"/>
            <w:shd w:val="clear" w:color="auto" w:fill="FFFFFF"/>
          </w:tcPr>
          <w:p w:rsidR="00BD66C4" w:rsidRPr="00F53B43" w:rsidRDefault="00CB251B" w:rsidP="00505590">
            <w:pPr>
              <w:spacing w:after="120"/>
              <w:rPr>
                <w:color w:val="000000"/>
                <w:sz w:val="20"/>
                <w:szCs w:val="20"/>
                <w:lang w:val="sr-Cyrl-CS"/>
              </w:rPr>
            </w:pPr>
            <w:r>
              <w:rPr>
                <w:color w:val="000000"/>
                <w:sz w:val="20"/>
                <w:szCs w:val="20"/>
                <w:lang w:val="sr-Cyrl-CS"/>
              </w:rPr>
              <w:t>Предлогом</w:t>
            </w:r>
            <w:r w:rsidR="00B55B16" w:rsidRPr="00F53B43">
              <w:rPr>
                <w:color w:val="000000"/>
                <w:sz w:val="20"/>
                <w:szCs w:val="20"/>
                <w:lang w:val="sr-Cyrl-CS"/>
              </w:rPr>
              <w:t xml:space="preserve"> закона о изменама и допуни Закона о роковима измирења новчаних обавеза шири предмет уређивања није утицао на с</w:t>
            </w:r>
            <w:r w:rsidR="00BD66C4" w:rsidRPr="00F53B43">
              <w:rPr>
                <w:color w:val="000000"/>
                <w:sz w:val="20"/>
                <w:szCs w:val="20"/>
                <w:lang w:val="sr-Cyrl-CS"/>
              </w:rPr>
              <w:t>мисао директиве</w:t>
            </w:r>
            <w:r w:rsidR="00B55B16" w:rsidRPr="00F53B43">
              <w:rPr>
                <w:color w:val="000000"/>
                <w:sz w:val="20"/>
                <w:szCs w:val="20"/>
                <w:lang w:val="sr-Cyrl-CS"/>
              </w:rPr>
              <w:t xml:space="preserve">, који је преузет </w:t>
            </w:r>
            <w:r w:rsidR="00BD66C4" w:rsidRPr="00F53B43">
              <w:rPr>
                <w:color w:val="000000"/>
                <w:sz w:val="20"/>
                <w:szCs w:val="20"/>
                <w:lang w:val="sr-Cyrl-CS"/>
              </w:rPr>
              <w:t xml:space="preserve">у највећој мери. </w:t>
            </w:r>
          </w:p>
          <w:p w:rsidR="00BD66C4" w:rsidRPr="00F53B43" w:rsidRDefault="00BD66C4" w:rsidP="00BD66C4">
            <w:pPr>
              <w:spacing w:before="120" w:after="120"/>
              <w:rPr>
                <w:color w:val="000000"/>
                <w:sz w:val="20"/>
                <w:szCs w:val="20"/>
                <w:lang w:val="sr-Cyrl-CS"/>
              </w:rPr>
            </w:pPr>
          </w:p>
        </w:tc>
      </w:tr>
      <w:tr w:rsidR="00D56B19" w:rsidRPr="00F53B43" w:rsidTr="00D64398">
        <w:trPr>
          <w:cantSplit/>
          <w:jc w:val="center"/>
        </w:trPr>
        <w:tc>
          <w:tcPr>
            <w:tcW w:w="489" w:type="pct"/>
            <w:shd w:val="clear" w:color="auto" w:fill="FFFFFF"/>
          </w:tcPr>
          <w:p w:rsidR="00D56B19" w:rsidRPr="00F53B43" w:rsidRDefault="00D56B19" w:rsidP="00D56B19">
            <w:pPr>
              <w:spacing w:before="120" w:after="120"/>
              <w:ind w:firstLine="5"/>
              <w:rPr>
                <w:color w:val="000000"/>
                <w:sz w:val="20"/>
                <w:szCs w:val="20"/>
                <w:lang w:val="sr-Cyrl-RS"/>
              </w:rPr>
            </w:pPr>
            <w:r w:rsidRPr="00F53B43">
              <w:rPr>
                <w:color w:val="000000"/>
                <w:sz w:val="20"/>
                <w:szCs w:val="20"/>
                <w:lang w:val="sr-Cyrl-RS"/>
              </w:rPr>
              <w:t>2.1.1.</w:t>
            </w:r>
          </w:p>
        </w:tc>
        <w:tc>
          <w:tcPr>
            <w:tcW w:w="768" w:type="pct"/>
            <w:shd w:val="clear" w:color="auto" w:fill="FFFFFF"/>
          </w:tcPr>
          <w:p w:rsidR="00D56B19" w:rsidRPr="00F53B43" w:rsidRDefault="00CB251B" w:rsidP="00D56B19">
            <w:pPr>
              <w:ind w:firstLine="5"/>
              <w:rPr>
                <w:sz w:val="20"/>
                <w:szCs w:val="20"/>
              </w:rPr>
            </w:pPr>
            <w:r>
              <w:rPr>
                <w:sz w:val="20"/>
                <w:szCs w:val="20"/>
              </w:rPr>
              <w:t>Definition „</w:t>
            </w:r>
            <w:r w:rsidR="00D56B19" w:rsidRPr="00F53B43">
              <w:rPr>
                <w:sz w:val="20"/>
                <w:szCs w:val="20"/>
              </w:rPr>
              <w:t>commercial transactions”</w:t>
            </w:r>
          </w:p>
        </w:tc>
        <w:tc>
          <w:tcPr>
            <w:tcW w:w="460" w:type="pct"/>
            <w:shd w:val="clear" w:color="auto" w:fill="FFFFFF"/>
          </w:tcPr>
          <w:p w:rsidR="00D56B19" w:rsidRPr="00F53B43" w:rsidRDefault="00D56B19" w:rsidP="00D56B19">
            <w:pPr>
              <w:spacing w:before="120" w:after="120"/>
              <w:ind w:firstLine="5"/>
              <w:rPr>
                <w:color w:val="000000"/>
                <w:sz w:val="20"/>
                <w:szCs w:val="20"/>
                <w:lang w:val="sr-Cyrl-RS"/>
              </w:rPr>
            </w:pPr>
            <w:r w:rsidRPr="00F53B43">
              <w:rPr>
                <w:color w:val="000000"/>
                <w:sz w:val="20"/>
                <w:szCs w:val="20"/>
                <w:lang w:val="sr-Cyrl-RS"/>
              </w:rPr>
              <w:t>2.</w:t>
            </w:r>
          </w:p>
        </w:tc>
        <w:tc>
          <w:tcPr>
            <w:tcW w:w="817" w:type="pct"/>
            <w:shd w:val="clear" w:color="auto" w:fill="FFFFFF"/>
          </w:tcPr>
          <w:p w:rsidR="00D56B19" w:rsidRPr="00F53B43" w:rsidRDefault="00F53B43" w:rsidP="00D56B19">
            <w:pPr>
              <w:ind w:left="-50"/>
              <w:rPr>
                <w:sz w:val="20"/>
                <w:szCs w:val="20"/>
              </w:rPr>
            </w:pPr>
            <w:r>
              <w:rPr>
                <w:sz w:val="20"/>
                <w:szCs w:val="20"/>
                <w:lang w:val="sr-Cyrl-CS"/>
              </w:rPr>
              <w:t>Појам „комерцијалне трансакцијеˮ</w:t>
            </w:r>
          </w:p>
        </w:tc>
        <w:tc>
          <w:tcPr>
            <w:tcW w:w="787" w:type="pct"/>
            <w:shd w:val="clear" w:color="auto" w:fill="FFFFFF"/>
          </w:tcPr>
          <w:p w:rsidR="00D56B19" w:rsidRPr="00F53B43" w:rsidRDefault="00D56B19" w:rsidP="00BA3883">
            <w:pPr>
              <w:rPr>
                <w:sz w:val="20"/>
                <w:szCs w:val="20"/>
                <w:lang w:val="sr-Cyrl-CS"/>
              </w:rPr>
            </w:pPr>
            <w:r w:rsidRPr="00F53B43">
              <w:rPr>
                <w:sz w:val="20"/>
                <w:szCs w:val="20"/>
                <w:lang w:val="sr-Cyrl-CS"/>
              </w:rPr>
              <w:t>Потпуно усклађено</w:t>
            </w:r>
          </w:p>
        </w:tc>
        <w:tc>
          <w:tcPr>
            <w:tcW w:w="591" w:type="pct"/>
            <w:gridSpan w:val="2"/>
            <w:shd w:val="clear" w:color="auto" w:fill="FFFFFF"/>
          </w:tcPr>
          <w:p w:rsidR="00D56B19" w:rsidRPr="00F53B43" w:rsidRDefault="00D56B19" w:rsidP="00D56B19">
            <w:pPr>
              <w:spacing w:before="120" w:after="120"/>
              <w:rPr>
                <w:color w:val="000000"/>
                <w:sz w:val="20"/>
                <w:szCs w:val="20"/>
              </w:rPr>
            </w:pPr>
          </w:p>
        </w:tc>
        <w:tc>
          <w:tcPr>
            <w:tcW w:w="579" w:type="pct"/>
            <w:shd w:val="clear" w:color="auto" w:fill="FFFFFF"/>
          </w:tcPr>
          <w:p w:rsidR="00D56B19" w:rsidRPr="00F53B43" w:rsidRDefault="00D56B19" w:rsidP="00D56B19">
            <w:pPr>
              <w:rPr>
                <w:color w:val="000000"/>
                <w:sz w:val="20"/>
                <w:szCs w:val="20"/>
              </w:rPr>
            </w:pPr>
          </w:p>
        </w:tc>
        <w:tc>
          <w:tcPr>
            <w:tcW w:w="509" w:type="pct"/>
            <w:shd w:val="clear" w:color="auto" w:fill="FFFFFF"/>
          </w:tcPr>
          <w:p w:rsidR="00D56B19" w:rsidRPr="00F53B43" w:rsidRDefault="00123BA8" w:rsidP="00BA3883">
            <w:pPr>
              <w:spacing w:after="120"/>
              <w:rPr>
                <w:color w:val="000000"/>
                <w:sz w:val="20"/>
                <w:szCs w:val="20"/>
                <w:lang w:val="sr-Cyrl-CS"/>
              </w:rPr>
            </w:pPr>
            <w:r>
              <w:rPr>
                <w:color w:val="000000"/>
                <w:sz w:val="20"/>
                <w:szCs w:val="20"/>
                <w:lang w:val="sr-Cyrl-CS"/>
              </w:rPr>
              <w:t>Предлогом</w:t>
            </w:r>
            <w:r w:rsidR="00D56B19" w:rsidRPr="00F53B43">
              <w:rPr>
                <w:color w:val="000000"/>
                <w:sz w:val="20"/>
                <w:szCs w:val="20"/>
                <w:lang w:val="sr-Cyrl-CS"/>
              </w:rPr>
              <w:t xml:space="preserve"> закона о изменама и допуни Закона о роковима измирења новчаних обавеза шире значење појма </w:t>
            </w:r>
            <w:r w:rsidR="004E3E61">
              <w:rPr>
                <w:sz w:val="20"/>
                <w:szCs w:val="20"/>
                <w:lang w:val="sr-Cyrl-CS"/>
              </w:rPr>
              <w:t>„комерцијалне трансакцијеˮ</w:t>
            </w:r>
            <w:r w:rsidR="00D56B19" w:rsidRPr="00F53B43">
              <w:rPr>
                <w:color w:val="000000"/>
                <w:sz w:val="20"/>
                <w:szCs w:val="20"/>
                <w:lang w:val="sr-Cyrl-CS"/>
              </w:rPr>
              <w:t xml:space="preserve"> није утицало на смисао директиве, који је преузет у највећој мери. </w:t>
            </w:r>
          </w:p>
          <w:p w:rsidR="00D56B19" w:rsidRPr="00F53B43" w:rsidRDefault="00D56B19" w:rsidP="00BA3883">
            <w:pPr>
              <w:spacing w:before="120" w:after="120"/>
              <w:rPr>
                <w:color w:val="000000"/>
                <w:sz w:val="20"/>
                <w:szCs w:val="20"/>
                <w:lang w:val="sr-Cyrl-CS"/>
              </w:rPr>
            </w:pPr>
          </w:p>
        </w:tc>
      </w:tr>
      <w:tr w:rsidR="00D56B19" w:rsidRPr="00F53B43" w:rsidTr="00D64398">
        <w:trPr>
          <w:cantSplit/>
          <w:jc w:val="center"/>
        </w:trPr>
        <w:tc>
          <w:tcPr>
            <w:tcW w:w="489" w:type="pct"/>
            <w:shd w:val="clear" w:color="auto" w:fill="FFFFFF"/>
          </w:tcPr>
          <w:p w:rsidR="00D56B19" w:rsidRPr="00F53B43" w:rsidRDefault="00D56B19" w:rsidP="00D56B19">
            <w:pPr>
              <w:spacing w:before="120" w:after="120"/>
              <w:ind w:firstLine="5"/>
              <w:rPr>
                <w:color w:val="000000"/>
                <w:sz w:val="20"/>
                <w:szCs w:val="20"/>
              </w:rPr>
            </w:pPr>
            <w:r w:rsidRPr="00F53B43">
              <w:rPr>
                <w:color w:val="000000"/>
                <w:sz w:val="20"/>
                <w:szCs w:val="20"/>
              </w:rPr>
              <w:lastRenderedPageBreak/>
              <w:t>4.1.а.</w:t>
            </w:r>
          </w:p>
        </w:tc>
        <w:tc>
          <w:tcPr>
            <w:tcW w:w="768" w:type="pct"/>
            <w:shd w:val="clear" w:color="auto" w:fill="FFFFFF"/>
          </w:tcPr>
          <w:p w:rsidR="00D56B19" w:rsidRPr="00F53B43" w:rsidRDefault="00D56B19" w:rsidP="00D56B19">
            <w:pPr>
              <w:pStyle w:val="CM4"/>
              <w:spacing w:before="60" w:after="60"/>
              <w:rPr>
                <w:rFonts w:ascii="Times New Roman" w:hAnsi="Times New Roman"/>
                <w:color w:val="000000"/>
                <w:sz w:val="20"/>
                <w:szCs w:val="20"/>
              </w:rPr>
            </w:pPr>
            <w:r w:rsidRPr="00F53B43">
              <w:rPr>
                <w:rFonts w:ascii="Times New Roman" w:hAnsi="Times New Roman"/>
                <w:color w:val="000000"/>
                <w:sz w:val="20"/>
                <w:szCs w:val="20"/>
              </w:rPr>
              <w:t xml:space="preserve">Member States may extend the time limits referred to in point (a) of paragraph 3 up to a maximum of 60 calendar days for: </w:t>
            </w:r>
          </w:p>
          <w:p w:rsidR="000F4633" w:rsidRDefault="00D56B19" w:rsidP="00D56B19">
            <w:pPr>
              <w:pStyle w:val="CM4"/>
              <w:spacing w:before="60" w:after="60"/>
              <w:rPr>
                <w:rFonts w:ascii="Times New Roman" w:hAnsi="Times New Roman"/>
                <w:color w:val="000000"/>
                <w:sz w:val="20"/>
                <w:szCs w:val="20"/>
              </w:rPr>
            </w:pPr>
            <w:r w:rsidRPr="00F53B43">
              <w:rPr>
                <w:rFonts w:ascii="Times New Roman" w:hAnsi="Times New Roman"/>
                <w:color w:val="000000"/>
                <w:sz w:val="20"/>
                <w:szCs w:val="20"/>
              </w:rPr>
              <w:t xml:space="preserve">(a) any public authority which carries out economic activities of an industrial or commercial nature by offering goods or services on the market and which is subject, as a public undertaking, to the transparency requirements laid down in Commission Directive 2006/111/EC of 16 November 2006 on the transparency of financial relations between Member States and public undertakings as well as on financial transparency within certain undertakings </w:t>
            </w:r>
          </w:p>
          <w:p w:rsidR="00D56B19" w:rsidRPr="00F53B43" w:rsidRDefault="00D56B19" w:rsidP="00D56B19">
            <w:pPr>
              <w:pStyle w:val="CM4"/>
              <w:spacing w:before="60" w:after="60"/>
              <w:rPr>
                <w:rFonts w:ascii="Times New Roman" w:hAnsi="Times New Roman"/>
                <w:color w:val="000000"/>
                <w:sz w:val="20"/>
                <w:szCs w:val="20"/>
              </w:rPr>
            </w:pPr>
            <w:bookmarkStart w:id="0" w:name="_GoBack"/>
            <w:bookmarkEnd w:id="0"/>
            <w:r w:rsidRPr="00F53B43">
              <w:rPr>
                <w:rFonts w:ascii="Times New Roman" w:hAnsi="Times New Roman"/>
                <w:color w:val="000000"/>
                <w:sz w:val="20"/>
                <w:szCs w:val="20"/>
              </w:rPr>
              <w:t xml:space="preserve">( 1 ); </w:t>
            </w:r>
          </w:p>
        </w:tc>
        <w:tc>
          <w:tcPr>
            <w:tcW w:w="460" w:type="pct"/>
            <w:shd w:val="clear" w:color="auto" w:fill="FFFFFF"/>
          </w:tcPr>
          <w:p w:rsidR="00D56B19" w:rsidRPr="00F53B43" w:rsidRDefault="00D56B19" w:rsidP="00D56B19">
            <w:pPr>
              <w:spacing w:before="120" w:after="120"/>
              <w:ind w:firstLine="5"/>
              <w:rPr>
                <w:color w:val="000000"/>
                <w:sz w:val="20"/>
                <w:szCs w:val="20"/>
              </w:rPr>
            </w:pPr>
            <w:r w:rsidRPr="00F53B43">
              <w:rPr>
                <w:color w:val="000000"/>
                <w:sz w:val="20"/>
                <w:szCs w:val="20"/>
                <w:lang w:val="sr-Cyrl-RS"/>
              </w:rPr>
              <w:t>3</w:t>
            </w:r>
            <w:r w:rsidRPr="00F53B43">
              <w:rPr>
                <w:color w:val="000000"/>
                <w:sz w:val="20"/>
                <w:szCs w:val="20"/>
              </w:rPr>
              <w:t>.1.</w:t>
            </w:r>
          </w:p>
        </w:tc>
        <w:tc>
          <w:tcPr>
            <w:tcW w:w="817" w:type="pct"/>
            <w:shd w:val="clear" w:color="auto" w:fill="FFFFFF"/>
          </w:tcPr>
          <w:p w:rsidR="00D56B19" w:rsidRPr="00F53B43" w:rsidRDefault="00D56B19" w:rsidP="00D56B19">
            <w:pPr>
              <w:tabs>
                <w:tab w:val="left" w:pos="0"/>
              </w:tabs>
              <w:rPr>
                <w:sz w:val="20"/>
                <w:szCs w:val="20"/>
                <w:lang w:val="sr-Cyrl-CS"/>
              </w:rPr>
            </w:pPr>
            <w:r w:rsidRPr="00F53B43">
              <w:rPr>
                <w:sz w:val="20"/>
                <w:szCs w:val="20"/>
                <w:lang w:val="sr-Cyrl-CS"/>
              </w:rPr>
              <w:t xml:space="preserve">Одредбом је предвиђено да се </w:t>
            </w:r>
            <w:proofErr w:type="spellStart"/>
            <w:r w:rsidRPr="00F53B43">
              <w:rPr>
                <w:sz w:val="20"/>
                <w:szCs w:val="20"/>
              </w:rPr>
              <w:t>уговором</w:t>
            </w:r>
            <w:proofErr w:type="spellEnd"/>
            <w:r w:rsidRPr="00F53B43">
              <w:rPr>
                <w:sz w:val="20"/>
                <w:szCs w:val="20"/>
              </w:rPr>
              <w:t xml:space="preserve"> </w:t>
            </w:r>
            <w:proofErr w:type="spellStart"/>
            <w:r w:rsidRPr="00F53B43">
              <w:rPr>
                <w:sz w:val="20"/>
                <w:szCs w:val="20"/>
              </w:rPr>
              <w:t>између</w:t>
            </w:r>
            <w:proofErr w:type="spellEnd"/>
            <w:r w:rsidRPr="00F53B43">
              <w:rPr>
                <w:sz w:val="20"/>
                <w:szCs w:val="20"/>
              </w:rPr>
              <w:t xml:space="preserve"> </w:t>
            </w:r>
            <w:proofErr w:type="spellStart"/>
            <w:r w:rsidRPr="00F53B43">
              <w:rPr>
                <w:sz w:val="20"/>
                <w:szCs w:val="20"/>
              </w:rPr>
              <w:t>субјеката</w:t>
            </w:r>
            <w:proofErr w:type="spellEnd"/>
            <w:r w:rsidRPr="00F53B43">
              <w:rPr>
                <w:sz w:val="20"/>
                <w:szCs w:val="20"/>
              </w:rPr>
              <w:t xml:space="preserve"> </w:t>
            </w:r>
            <w:proofErr w:type="spellStart"/>
            <w:r w:rsidRPr="00F53B43">
              <w:rPr>
                <w:sz w:val="20"/>
                <w:szCs w:val="20"/>
              </w:rPr>
              <w:t>јавног</w:t>
            </w:r>
            <w:proofErr w:type="spellEnd"/>
            <w:r w:rsidRPr="00F53B43">
              <w:rPr>
                <w:sz w:val="20"/>
                <w:szCs w:val="20"/>
              </w:rPr>
              <w:t xml:space="preserve"> </w:t>
            </w:r>
            <w:proofErr w:type="spellStart"/>
            <w:r w:rsidRPr="00F53B43">
              <w:rPr>
                <w:sz w:val="20"/>
                <w:szCs w:val="20"/>
              </w:rPr>
              <w:t>сектора</w:t>
            </w:r>
            <w:proofErr w:type="spellEnd"/>
            <w:r w:rsidRPr="00F53B43">
              <w:rPr>
                <w:sz w:val="20"/>
                <w:szCs w:val="20"/>
              </w:rPr>
              <w:t xml:space="preserve"> </w:t>
            </w:r>
            <w:proofErr w:type="spellStart"/>
            <w:r w:rsidRPr="00F53B43">
              <w:rPr>
                <w:sz w:val="20"/>
                <w:szCs w:val="20"/>
              </w:rPr>
              <w:t>не</w:t>
            </w:r>
            <w:proofErr w:type="spellEnd"/>
            <w:r w:rsidRPr="00F53B43">
              <w:rPr>
                <w:sz w:val="20"/>
                <w:szCs w:val="20"/>
              </w:rPr>
              <w:t xml:space="preserve"> </w:t>
            </w:r>
            <w:proofErr w:type="spellStart"/>
            <w:r w:rsidRPr="00F53B43">
              <w:rPr>
                <w:sz w:val="20"/>
                <w:szCs w:val="20"/>
              </w:rPr>
              <w:t>може</w:t>
            </w:r>
            <w:proofErr w:type="spellEnd"/>
            <w:r w:rsidRPr="00F53B43">
              <w:rPr>
                <w:sz w:val="20"/>
                <w:szCs w:val="20"/>
              </w:rPr>
              <w:t xml:space="preserve"> </w:t>
            </w:r>
            <w:proofErr w:type="spellStart"/>
            <w:r w:rsidRPr="00F53B43">
              <w:rPr>
                <w:sz w:val="20"/>
                <w:szCs w:val="20"/>
              </w:rPr>
              <w:t>предвидети</w:t>
            </w:r>
            <w:proofErr w:type="spellEnd"/>
            <w:r w:rsidRPr="00F53B43">
              <w:rPr>
                <w:sz w:val="20"/>
                <w:szCs w:val="20"/>
              </w:rPr>
              <w:t xml:space="preserve"> </w:t>
            </w:r>
            <w:proofErr w:type="spellStart"/>
            <w:r w:rsidRPr="00F53B43">
              <w:rPr>
                <w:sz w:val="20"/>
                <w:szCs w:val="20"/>
              </w:rPr>
              <w:t>рок</w:t>
            </w:r>
            <w:proofErr w:type="spellEnd"/>
            <w:r w:rsidRPr="00F53B43">
              <w:rPr>
                <w:sz w:val="20"/>
                <w:szCs w:val="20"/>
              </w:rPr>
              <w:t xml:space="preserve"> </w:t>
            </w:r>
            <w:proofErr w:type="spellStart"/>
            <w:r w:rsidRPr="00F53B43">
              <w:rPr>
                <w:sz w:val="20"/>
                <w:szCs w:val="20"/>
              </w:rPr>
              <w:t>за</w:t>
            </w:r>
            <w:proofErr w:type="spellEnd"/>
            <w:r w:rsidRPr="00F53B43">
              <w:rPr>
                <w:sz w:val="20"/>
                <w:szCs w:val="20"/>
              </w:rPr>
              <w:t xml:space="preserve"> </w:t>
            </w:r>
            <w:proofErr w:type="spellStart"/>
            <w:r w:rsidRPr="00F53B43">
              <w:rPr>
                <w:sz w:val="20"/>
                <w:szCs w:val="20"/>
              </w:rPr>
              <w:t>измирење</w:t>
            </w:r>
            <w:proofErr w:type="spellEnd"/>
            <w:r w:rsidRPr="00F53B43">
              <w:rPr>
                <w:sz w:val="20"/>
                <w:szCs w:val="20"/>
              </w:rPr>
              <w:t xml:space="preserve"> </w:t>
            </w:r>
            <w:proofErr w:type="spellStart"/>
            <w:r w:rsidRPr="00F53B43">
              <w:rPr>
                <w:sz w:val="20"/>
                <w:szCs w:val="20"/>
              </w:rPr>
              <w:t>новчаних</w:t>
            </w:r>
            <w:proofErr w:type="spellEnd"/>
            <w:r w:rsidRPr="00F53B43">
              <w:rPr>
                <w:sz w:val="20"/>
                <w:szCs w:val="20"/>
              </w:rPr>
              <w:t xml:space="preserve"> </w:t>
            </w:r>
            <w:proofErr w:type="spellStart"/>
            <w:r w:rsidRPr="00F53B43">
              <w:rPr>
                <w:sz w:val="20"/>
                <w:szCs w:val="20"/>
              </w:rPr>
              <w:t>обавеза</w:t>
            </w:r>
            <w:proofErr w:type="spellEnd"/>
            <w:r w:rsidRPr="00F53B43">
              <w:rPr>
                <w:sz w:val="20"/>
                <w:szCs w:val="20"/>
              </w:rPr>
              <w:t xml:space="preserve"> </w:t>
            </w:r>
            <w:proofErr w:type="spellStart"/>
            <w:r w:rsidRPr="00F53B43">
              <w:rPr>
                <w:sz w:val="20"/>
                <w:szCs w:val="20"/>
              </w:rPr>
              <w:t>дужи</w:t>
            </w:r>
            <w:proofErr w:type="spellEnd"/>
            <w:r w:rsidRPr="00F53B43">
              <w:rPr>
                <w:sz w:val="20"/>
                <w:szCs w:val="20"/>
              </w:rPr>
              <w:t xml:space="preserve"> </w:t>
            </w:r>
            <w:proofErr w:type="spellStart"/>
            <w:r w:rsidRPr="00F53B43">
              <w:rPr>
                <w:sz w:val="20"/>
                <w:szCs w:val="20"/>
              </w:rPr>
              <w:t>од</w:t>
            </w:r>
            <w:proofErr w:type="spellEnd"/>
            <w:r w:rsidRPr="00F53B43">
              <w:rPr>
                <w:sz w:val="20"/>
                <w:szCs w:val="20"/>
              </w:rPr>
              <w:t xml:space="preserve"> 60 </w:t>
            </w:r>
            <w:proofErr w:type="spellStart"/>
            <w:r w:rsidRPr="00F53B43">
              <w:rPr>
                <w:sz w:val="20"/>
                <w:szCs w:val="20"/>
              </w:rPr>
              <w:t>дана</w:t>
            </w:r>
            <w:proofErr w:type="spellEnd"/>
            <w:r w:rsidRPr="00F53B43">
              <w:rPr>
                <w:sz w:val="20"/>
                <w:szCs w:val="20"/>
              </w:rPr>
              <w:t>.</w:t>
            </w:r>
          </w:p>
        </w:tc>
        <w:tc>
          <w:tcPr>
            <w:tcW w:w="787" w:type="pct"/>
            <w:shd w:val="clear" w:color="auto" w:fill="FFFFFF"/>
          </w:tcPr>
          <w:p w:rsidR="00D56B19" w:rsidRPr="00F53B43" w:rsidRDefault="00D56B19" w:rsidP="00D56B19">
            <w:pPr>
              <w:rPr>
                <w:sz w:val="20"/>
                <w:szCs w:val="20"/>
                <w:lang w:val="sr-Cyrl-CS"/>
              </w:rPr>
            </w:pPr>
            <w:r w:rsidRPr="00F53B43">
              <w:rPr>
                <w:sz w:val="20"/>
                <w:szCs w:val="20"/>
                <w:lang w:val="sr-Cyrl-CS"/>
              </w:rPr>
              <w:t>Потпуно усклађено</w:t>
            </w:r>
          </w:p>
        </w:tc>
        <w:tc>
          <w:tcPr>
            <w:tcW w:w="591" w:type="pct"/>
            <w:gridSpan w:val="2"/>
            <w:shd w:val="clear" w:color="auto" w:fill="FFFFFF"/>
          </w:tcPr>
          <w:p w:rsidR="00D56B19" w:rsidRPr="00F53B43" w:rsidRDefault="00D56B19" w:rsidP="00D56B19">
            <w:pPr>
              <w:spacing w:before="120" w:after="120"/>
              <w:rPr>
                <w:color w:val="000000"/>
                <w:sz w:val="20"/>
                <w:szCs w:val="20"/>
              </w:rPr>
            </w:pPr>
          </w:p>
        </w:tc>
        <w:tc>
          <w:tcPr>
            <w:tcW w:w="579" w:type="pct"/>
            <w:shd w:val="clear" w:color="auto" w:fill="FFFFFF"/>
          </w:tcPr>
          <w:p w:rsidR="00D56B19" w:rsidRPr="00F53B43" w:rsidRDefault="00D56B19" w:rsidP="00D56B19">
            <w:pPr>
              <w:rPr>
                <w:color w:val="000000"/>
                <w:sz w:val="20"/>
                <w:szCs w:val="20"/>
              </w:rPr>
            </w:pPr>
          </w:p>
        </w:tc>
        <w:tc>
          <w:tcPr>
            <w:tcW w:w="509" w:type="pct"/>
            <w:shd w:val="clear" w:color="auto" w:fill="FFFFFF"/>
          </w:tcPr>
          <w:p w:rsidR="00D56B19" w:rsidRPr="00F53B43" w:rsidRDefault="00D56B19" w:rsidP="00D56B19">
            <w:pPr>
              <w:spacing w:after="120"/>
              <w:rPr>
                <w:color w:val="000000"/>
                <w:sz w:val="20"/>
                <w:szCs w:val="20"/>
                <w:lang w:val="sr-Cyrl-CS"/>
              </w:rPr>
            </w:pPr>
          </w:p>
        </w:tc>
      </w:tr>
      <w:tr w:rsidR="00D56B19" w:rsidRPr="00F53B43" w:rsidTr="00D64398">
        <w:trPr>
          <w:cantSplit/>
          <w:jc w:val="center"/>
        </w:trPr>
        <w:tc>
          <w:tcPr>
            <w:tcW w:w="489" w:type="pct"/>
            <w:shd w:val="clear" w:color="auto" w:fill="FFFFFF"/>
          </w:tcPr>
          <w:p w:rsidR="00D56B19" w:rsidRPr="00F53B43" w:rsidRDefault="00D56B19" w:rsidP="00D56B19">
            <w:pPr>
              <w:spacing w:before="120" w:after="120"/>
              <w:ind w:firstLine="5"/>
              <w:rPr>
                <w:color w:val="000000"/>
                <w:sz w:val="20"/>
                <w:szCs w:val="20"/>
              </w:rPr>
            </w:pPr>
            <w:r w:rsidRPr="00F53B43">
              <w:rPr>
                <w:color w:val="000000"/>
                <w:sz w:val="20"/>
                <w:szCs w:val="20"/>
                <w:lang w:val="sr-Cyrl-CS"/>
              </w:rPr>
              <w:lastRenderedPageBreak/>
              <w:t xml:space="preserve">Остали чланови Директиве нису релевантни за нормативну уређеност </w:t>
            </w:r>
            <w:r w:rsidR="004E3E61">
              <w:rPr>
                <w:color w:val="000000"/>
                <w:sz w:val="20"/>
                <w:szCs w:val="20"/>
                <w:lang w:val="sr-Cyrl-CS"/>
              </w:rPr>
              <w:t>Предлога</w:t>
            </w:r>
            <w:r w:rsidRPr="00F53B43">
              <w:rPr>
                <w:color w:val="000000"/>
                <w:sz w:val="20"/>
                <w:szCs w:val="20"/>
                <w:lang w:val="sr-Cyrl-CS"/>
              </w:rPr>
              <w:t xml:space="preserve"> закона о изменама и допуни</w:t>
            </w:r>
            <w:r w:rsidR="004E3E61">
              <w:rPr>
                <w:color w:val="000000"/>
                <w:sz w:val="20"/>
                <w:szCs w:val="20"/>
                <w:lang w:val="sr-Cyrl-CS"/>
              </w:rPr>
              <w:t xml:space="preserve"> Закона о</w:t>
            </w:r>
            <w:r w:rsidRPr="00F53B43">
              <w:rPr>
                <w:rFonts w:ascii="Times New Roman CYR" w:hAnsi="Times New Roman CYR" w:cs="Times New Roman CYR"/>
                <w:sz w:val="20"/>
                <w:szCs w:val="20"/>
              </w:rPr>
              <w:t xml:space="preserve"> </w:t>
            </w:r>
            <w:proofErr w:type="spellStart"/>
            <w:r w:rsidRPr="00F53B43">
              <w:rPr>
                <w:rFonts w:ascii="Times New Roman CYR" w:hAnsi="Times New Roman CYR" w:cs="Times New Roman CYR"/>
                <w:sz w:val="20"/>
                <w:szCs w:val="20"/>
              </w:rPr>
              <w:t>роковима</w:t>
            </w:r>
            <w:proofErr w:type="spellEnd"/>
            <w:r w:rsidRPr="00F53B43">
              <w:rPr>
                <w:rFonts w:ascii="Times New Roman CYR" w:hAnsi="Times New Roman CYR" w:cs="Times New Roman CYR"/>
                <w:sz w:val="20"/>
                <w:szCs w:val="20"/>
              </w:rPr>
              <w:t xml:space="preserve"> </w:t>
            </w:r>
            <w:proofErr w:type="spellStart"/>
            <w:r w:rsidRPr="00F53B43">
              <w:rPr>
                <w:rFonts w:ascii="Times New Roman CYR" w:hAnsi="Times New Roman CYR" w:cs="Times New Roman CYR"/>
                <w:sz w:val="20"/>
                <w:szCs w:val="20"/>
              </w:rPr>
              <w:t>измирења</w:t>
            </w:r>
            <w:proofErr w:type="spellEnd"/>
            <w:r w:rsidRPr="00F53B43">
              <w:rPr>
                <w:rFonts w:ascii="Times New Roman CYR" w:hAnsi="Times New Roman CYR" w:cs="Times New Roman CYR"/>
                <w:sz w:val="20"/>
                <w:szCs w:val="20"/>
              </w:rPr>
              <w:t xml:space="preserve"> </w:t>
            </w:r>
            <w:proofErr w:type="spellStart"/>
            <w:r w:rsidRPr="00F53B43">
              <w:rPr>
                <w:rFonts w:ascii="Times New Roman CYR" w:hAnsi="Times New Roman CYR" w:cs="Times New Roman CYR"/>
                <w:sz w:val="20"/>
                <w:szCs w:val="20"/>
              </w:rPr>
              <w:t>новчаних</w:t>
            </w:r>
            <w:proofErr w:type="spellEnd"/>
            <w:r w:rsidRPr="00F53B43">
              <w:rPr>
                <w:rFonts w:ascii="Times New Roman CYR" w:hAnsi="Times New Roman CYR" w:cs="Times New Roman CYR"/>
                <w:sz w:val="20"/>
                <w:szCs w:val="20"/>
              </w:rPr>
              <w:t xml:space="preserve"> </w:t>
            </w:r>
            <w:proofErr w:type="spellStart"/>
            <w:r w:rsidRPr="00F53B43">
              <w:rPr>
                <w:rFonts w:ascii="Times New Roman CYR" w:hAnsi="Times New Roman CYR" w:cs="Times New Roman CYR"/>
                <w:sz w:val="20"/>
                <w:szCs w:val="20"/>
              </w:rPr>
              <w:t>обавеза</w:t>
            </w:r>
            <w:proofErr w:type="spellEnd"/>
            <w:r w:rsidRPr="00F53B43">
              <w:rPr>
                <w:rFonts w:ascii="Times New Roman CYR" w:hAnsi="Times New Roman CYR" w:cs="Times New Roman CYR"/>
                <w:sz w:val="20"/>
                <w:szCs w:val="20"/>
              </w:rPr>
              <w:t xml:space="preserve"> у </w:t>
            </w:r>
            <w:proofErr w:type="spellStart"/>
            <w:r w:rsidRPr="00F53B43">
              <w:rPr>
                <w:rFonts w:ascii="Times New Roman CYR" w:hAnsi="Times New Roman CYR" w:cs="Times New Roman CYR"/>
                <w:sz w:val="20"/>
                <w:szCs w:val="20"/>
              </w:rPr>
              <w:t>комерцијалним</w:t>
            </w:r>
            <w:proofErr w:type="spellEnd"/>
            <w:r w:rsidRPr="00F53B43">
              <w:rPr>
                <w:rFonts w:ascii="Times New Roman CYR" w:hAnsi="Times New Roman CYR" w:cs="Times New Roman CYR"/>
                <w:sz w:val="20"/>
                <w:szCs w:val="20"/>
              </w:rPr>
              <w:t xml:space="preserve"> </w:t>
            </w:r>
            <w:proofErr w:type="spellStart"/>
            <w:r w:rsidRPr="00F53B43">
              <w:rPr>
                <w:rFonts w:ascii="Times New Roman CYR" w:hAnsi="Times New Roman CYR" w:cs="Times New Roman CYR"/>
                <w:sz w:val="20"/>
                <w:szCs w:val="20"/>
              </w:rPr>
              <w:t>трансакцијама</w:t>
            </w:r>
            <w:proofErr w:type="spellEnd"/>
            <w:r w:rsidRPr="00F53B43">
              <w:rPr>
                <w:color w:val="000000"/>
                <w:sz w:val="20"/>
                <w:szCs w:val="20"/>
                <w:lang w:val="sr-Cyrl-CS"/>
              </w:rPr>
              <w:t>.</w:t>
            </w:r>
          </w:p>
        </w:tc>
        <w:tc>
          <w:tcPr>
            <w:tcW w:w="768" w:type="pct"/>
            <w:shd w:val="clear" w:color="auto" w:fill="FFFFFF"/>
          </w:tcPr>
          <w:p w:rsidR="00D56B19" w:rsidRPr="00F53B43" w:rsidRDefault="00D56B19" w:rsidP="00D56B19">
            <w:pPr>
              <w:spacing w:before="120" w:after="120"/>
              <w:ind w:firstLine="5"/>
              <w:rPr>
                <w:sz w:val="20"/>
                <w:szCs w:val="20"/>
              </w:rPr>
            </w:pPr>
          </w:p>
        </w:tc>
        <w:tc>
          <w:tcPr>
            <w:tcW w:w="460" w:type="pct"/>
            <w:shd w:val="clear" w:color="auto" w:fill="FFFFFF"/>
          </w:tcPr>
          <w:p w:rsidR="00D56B19" w:rsidRPr="00F53B43" w:rsidRDefault="00D56B19" w:rsidP="00D56B19">
            <w:pPr>
              <w:spacing w:before="120" w:after="120"/>
              <w:ind w:firstLine="5"/>
              <w:rPr>
                <w:color w:val="000000"/>
                <w:sz w:val="20"/>
                <w:szCs w:val="20"/>
              </w:rPr>
            </w:pPr>
          </w:p>
        </w:tc>
        <w:tc>
          <w:tcPr>
            <w:tcW w:w="817" w:type="pct"/>
            <w:shd w:val="clear" w:color="auto" w:fill="FFFFFF"/>
          </w:tcPr>
          <w:p w:rsidR="00D56B19" w:rsidRPr="00F53B43" w:rsidRDefault="00D56B19" w:rsidP="00D56B19">
            <w:pPr>
              <w:tabs>
                <w:tab w:val="left" w:pos="0"/>
              </w:tabs>
              <w:rPr>
                <w:sz w:val="20"/>
                <w:szCs w:val="20"/>
                <w:lang w:val="sr-Cyrl-CS"/>
              </w:rPr>
            </w:pPr>
          </w:p>
        </w:tc>
        <w:tc>
          <w:tcPr>
            <w:tcW w:w="787" w:type="pct"/>
            <w:shd w:val="clear" w:color="auto" w:fill="FFFFFF"/>
          </w:tcPr>
          <w:p w:rsidR="00D56B19" w:rsidRPr="00F53B43" w:rsidRDefault="00D56B19" w:rsidP="00D56B19">
            <w:pPr>
              <w:spacing w:before="120" w:after="120"/>
              <w:rPr>
                <w:color w:val="000000"/>
                <w:sz w:val="20"/>
                <w:szCs w:val="20"/>
              </w:rPr>
            </w:pPr>
          </w:p>
        </w:tc>
        <w:tc>
          <w:tcPr>
            <w:tcW w:w="591" w:type="pct"/>
            <w:gridSpan w:val="2"/>
            <w:shd w:val="clear" w:color="auto" w:fill="FFFFFF"/>
          </w:tcPr>
          <w:p w:rsidR="00D56B19" w:rsidRPr="00F53B43" w:rsidRDefault="00D56B19" w:rsidP="00D56B19">
            <w:pPr>
              <w:spacing w:before="120" w:after="120"/>
              <w:rPr>
                <w:color w:val="000000"/>
                <w:sz w:val="20"/>
                <w:szCs w:val="20"/>
                <w:lang w:val="ru-RU"/>
              </w:rPr>
            </w:pPr>
          </w:p>
        </w:tc>
        <w:tc>
          <w:tcPr>
            <w:tcW w:w="579" w:type="pct"/>
            <w:shd w:val="clear" w:color="auto" w:fill="FFFFFF"/>
          </w:tcPr>
          <w:p w:rsidR="00D56B19" w:rsidRPr="00F53B43" w:rsidRDefault="00D56B19" w:rsidP="00D56B19">
            <w:pPr>
              <w:rPr>
                <w:color w:val="000000"/>
                <w:sz w:val="20"/>
                <w:szCs w:val="20"/>
                <w:lang w:val="ru-RU"/>
              </w:rPr>
            </w:pPr>
          </w:p>
        </w:tc>
        <w:tc>
          <w:tcPr>
            <w:tcW w:w="509" w:type="pct"/>
            <w:shd w:val="clear" w:color="auto" w:fill="FFFFFF"/>
          </w:tcPr>
          <w:p w:rsidR="00D56B19" w:rsidRPr="00F53B43" w:rsidRDefault="00D56B19" w:rsidP="00D56B19">
            <w:pPr>
              <w:spacing w:before="120" w:after="120"/>
              <w:rPr>
                <w:color w:val="000000"/>
                <w:sz w:val="20"/>
                <w:szCs w:val="20"/>
                <w:lang w:val="sr-Cyrl-CS"/>
              </w:rPr>
            </w:pPr>
          </w:p>
        </w:tc>
      </w:tr>
    </w:tbl>
    <w:p w:rsidR="00E96609" w:rsidRPr="00F53B43" w:rsidRDefault="00E96609" w:rsidP="00B55B16">
      <w:pPr>
        <w:rPr>
          <w:sz w:val="20"/>
          <w:szCs w:val="20"/>
        </w:rPr>
      </w:pPr>
    </w:p>
    <w:sectPr w:rsidR="00E96609" w:rsidRPr="00F53B43" w:rsidSect="00285094">
      <w:footerReference w:type="default" r:id="rId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EA" w:rsidRDefault="002173EA" w:rsidP="00285094">
      <w:r>
        <w:separator/>
      </w:r>
    </w:p>
  </w:endnote>
  <w:endnote w:type="continuationSeparator" w:id="0">
    <w:p w:rsidR="002173EA" w:rsidRDefault="002173EA" w:rsidP="002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07252"/>
      <w:docPartObj>
        <w:docPartGallery w:val="Page Numbers (Bottom of Page)"/>
        <w:docPartUnique/>
      </w:docPartObj>
    </w:sdtPr>
    <w:sdtEndPr>
      <w:rPr>
        <w:noProof/>
      </w:rPr>
    </w:sdtEndPr>
    <w:sdtContent>
      <w:p w:rsidR="00285094" w:rsidRDefault="00285094">
        <w:pPr>
          <w:pStyle w:val="Footer"/>
          <w:jc w:val="center"/>
        </w:pPr>
        <w:r>
          <w:fldChar w:fldCharType="begin"/>
        </w:r>
        <w:r>
          <w:instrText xml:space="preserve"> PAGE   \* MERGEFORMAT </w:instrText>
        </w:r>
        <w:r>
          <w:fldChar w:fldCharType="separate"/>
        </w:r>
        <w:r w:rsidR="000F4633">
          <w:rPr>
            <w:noProof/>
          </w:rPr>
          <w:t>3</w:t>
        </w:r>
        <w:r>
          <w:rPr>
            <w:noProof/>
          </w:rPr>
          <w:fldChar w:fldCharType="end"/>
        </w:r>
      </w:p>
    </w:sdtContent>
  </w:sdt>
  <w:p w:rsidR="00285094" w:rsidRDefault="00285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EA" w:rsidRDefault="002173EA" w:rsidP="00285094">
      <w:r>
        <w:separator/>
      </w:r>
    </w:p>
  </w:footnote>
  <w:footnote w:type="continuationSeparator" w:id="0">
    <w:p w:rsidR="002173EA" w:rsidRDefault="002173EA" w:rsidP="00285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2E"/>
    <w:rsid w:val="000F4633"/>
    <w:rsid w:val="00123BA8"/>
    <w:rsid w:val="001C6D12"/>
    <w:rsid w:val="002173EA"/>
    <w:rsid w:val="00263E0A"/>
    <w:rsid w:val="00285094"/>
    <w:rsid w:val="002E7277"/>
    <w:rsid w:val="003D22C5"/>
    <w:rsid w:val="004E367C"/>
    <w:rsid w:val="004E3E61"/>
    <w:rsid w:val="00505590"/>
    <w:rsid w:val="006F1A6C"/>
    <w:rsid w:val="00744A6D"/>
    <w:rsid w:val="008B199E"/>
    <w:rsid w:val="00B55B16"/>
    <w:rsid w:val="00BD66C4"/>
    <w:rsid w:val="00CB251B"/>
    <w:rsid w:val="00D56B19"/>
    <w:rsid w:val="00DD1466"/>
    <w:rsid w:val="00E96609"/>
    <w:rsid w:val="00F2662E"/>
    <w:rsid w:val="00F53B43"/>
    <w:rsid w:val="00FB6087"/>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99E"/>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ar Car,single space,footnote te"/>
    <w:basedOn w:val="Normal"/>
    <w:link w:val="FootnoteTextChar"/>
    <w:semiHidden/>
    <w:rsid w:val="008B199E"/>
    <w:pPr>
      <w:jc w:val="left"/>
    </w:pPr>
    <w:rPr>
      <w:rFonts w:ascii="Arial" w:eastAsia="Calibri" w:hAnsi="Arial" w:cs="Arial"/>
      <w:sz w:val="20"/>
      <w:szCs w:val="20"/>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Car Car Char,single space Char"/>
    <w:basedOn w:val="DefaultParagraphFont"/>
    <w:link w:val="FootnoteText"/>
    <w:semiHidden/>
    <w:rsid w:val="008B199E"/>
    <w:rPr>
      <w:rFonts w:ascii="Arial" w:eastAsia="Calibri" w:hAnsi="Arial" w:cs="Arial"/>
      <w:sz w:val="20"/>
      <w:szCs w:val="20"/>
    </w:rPr>
  </w:style>
  <w:style w:type="character" w:styleId="Strong">
    <w:name w:val="Strong"/>
    <w:qFormat/>
    <w:rsid w:val="008B199E"/>
    <w:rPr>
      <w:rFonts w:cs="Times New Roman"/>
      <w:b/>
      <w:bCs/>
    </w:rPr>
  </w:style>
  <w:style w:type="paragraph" w:customStyle="1" w:styleId="CM4">
    <w:name w:val="CM4"/>
    <w:basedOn w:val="Normal"/>
    <w:next w:val="Normal"/>
    <w:uiPriority w:val="99"/>
    <w:rsid w:val="008B199E"/>
    <w:pPr>
      <w:autoSpaceDE w:val="0"/>
      <w:autoSpaceDN w:val="0"/>
      <w:adjustRightInd w:val="0"/>
      <w:jc w:val="left"/>
    </w:pPr>
    <w:rPr>
      <w:rFonts w:ascii="EUAlbertina" w:eastAsia="Calibri" w:hAnsi="EUAlbertina"/>
    </w:rPr>
  </w:style>
  <w:style w:type="paragraph" w:styleId="Header">
    <w:name w:val="header"/>
    <w:basedOn w:val="Normal"/>
    <w:link w:val="HeaderChar"/>
    <w:uiPriority w:val="99"/>
    <w:unhideWhenUsed/>
    <w:rsid w:val="00285094"/>
    <w:pPr>
      <w:tabs>
        <w:tab w:val="center" w:pos="4680"/>
        <w:tab w:val="right" w:pos="9360"/>
      </w:tabs>
    </w:pPr>
  </w:style>
  <w:style w:type="character" w:customStyle="1" w:styleId="HeaderChar">
    <w:name w:val="Header Char"/>
    <w:basedOn w:val="DefaultParagraphFont"/>
    <w:link w:val="Header"/>
    <w:uiPriority w:val="99"/>
    <w:rsid w:val="002850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5094"/>
    <w:pPr>
      <w:tabs>
        <w:tab w:val="center" w:pos="4680"/>
        <w:tab w:val="right" w:pos="9360"/>
      </w:tabs>
    </w:pPr>
  </w:style>
  <w:style w:type="character" w:customStyle="1" w:styleId="FooterChar">
    <w:name w:val="Footer Char"/>
    <w:basedOn w:val="DefaultParagraphFont"/>
    <w:link w:val="Footer"/>
    <w:uiPriority w:val="99"/>
    <w:rsid w:val="0028509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99E"/>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ar Car,single space,footnote te"/>
    <w:basedOn w:val="Normal"/>
    <w:link w:val="FootnoteTextChar"/>
    <w:semiHidden/>
    <w:rsid w:val="008B199E"/>
    <w:pPr>
      <w:jc w:val="left"/>
    </w:pPr>
    <w:rPr>
      <w:rFonts w:ascii="Arial" w:eastAsia="Calibri" w:hAnsi="Arial" w:cs="Arial"/>
      <w:sz w:val="20"/>
      <w:szCs w:val="20"/>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Car Car Char,single space Char"/>
    <w:basedOn w:val="DefaultParagraphFont"/>
    <w:link w:val="FootnoteText"/>
    <w:semiHidden/>
    <w:rsid w:val="008B199E"/>
    <w:rPr>
      <w:rFonts w:ascii="Arial" w:eastAsia="Calibri" w:hAnsi="Arial" w:cs="Arial"/>
      <w:sz w:val="20"/>
      <w:szCs w:val="20"/>
    </w:rPr>
  </w:style>
  <w:style w:type="character" w:styleId="Strong">
    <w:name w:val="Strong"/>
    <w:qFormat/>
    <w:rsid w:val="008B199E"/>
    <w:rPr>
      <w:rFonts w:cs="Times New Roman"/>
      <w:b/>
      <w:bCs/>
    </w:rPr>
  </w:style>
  <w:style w:type="paragraph" w:customStyle="1" w:styleId="CM4">
    <w:name w:val="CM4"/>
    <w:basedOn w:val="Normal"/>
    <w:next w:val="Normal"/>
    <w:uiPriority w:val="99"/>
    <w:rsid w:val="008B199E"/>
    <w:pPr>
      <w:autoSpaceDE w:val="0"/>
      <w:autoSpaceDN w:val="0"/>
      <w:adjustRightInd w:val="0"/>
      <w:jc w:val="left"/>
    </w:pPr>
    <w:rPr>
      <w:rFonts w:ascii="EUAlbertina" w:eastAsia="Calibri" w:hAnsi="EUAlbertina"/>
    </w:rPr>
  </w:style>
  <w:style w:type="paragraph" w:styleId="Header">
    <w:name w:val="header"/>
    <w:basedOn w:val="Normal"/>
    <w:link w:val="HeaderChar"/>
    <w:uiPriority w:val="99"/>
    <w:unhideWhenUsed/>
    <w:rsid w:val="00285094"/>
    <w:pPr>
      <w:tabs>
        <w:tab w:val="center" w:pos="4680"/>
        <w:tab w:val="right" w:pos="9360"/>
      </w:tabs>
    </w:pPr>
  </w:style>
  <w:style w:type="character" w:customStyle="1" w:styleId="HeaderChar">
    <w:name w:val="Header Char"/>
    <w:basedOn w:val="DefaultParagraphFont"/>
    <w:link w:val="Header"/>
    <w:uiPriority w:val="99"/>
    <w:rsid w:val="002850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5094"/>
    <w:pPr>
      <w:tabs>
        <w:tab w:val="center" w:pos="4680"/>
        <w:tab w:val="right" w:pos="9360"/>
      </w:tabs>
    </w:pPr>
  </w:style>
  <w:style w:type="character" w:customStyle="1" w:styleId="FooterChar">
    <w:name w:val="Footer Char"/>
    <w:basedOn w:val="DefaultParagraphFont"/>
    <w:link w:val="Footer"/>
    <w:uiPriority w:val="99"/>
    <w:rsid w:val="002850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Djordjevic</dc:creator>
  <cp:lastModifiedBy>Andjelka Opacic</cp:lastModifiedBy>
  <cp:revision>8</cp:revision>
  <dcterms:created xsi:type="dcterms:W3CDTF">2015-07-10T08:08:00Z</dcterms:created>
  <dcterms:modified xsi:type="dcterms:W3CDTF">2015-07-13T08:48:00Z</dcterms:modified>
</cp:coreProperties>
</file>